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C87" w:rsidRDefault="007E3C87">
      <w:pPr>
        <w:rPr>
          <w:rFonts w:ascii="Arial" w:hAnsi="Arial" w:cs="Arial"/>
          <w:b/>
          <w:sz w:val="24"/>
          <w:szCs w:val="24"/>
        </w:rPr>
      </w:pPr>
    </w:p>
    <w:p w:rsidR="005062B0" w:rsidRDefault="007E3C87">
      <w:pPr>
        <w:rPr>
          <w:rFonts w:ascii="Arial" w:hAnsi="Arial" w:cs="Arial"/>
          <w:b/>
          <w:sz w:val="24"/>
          <w:szCs w:val="24"/>
        </w:rPr>
      </w:pPr>
      <w:r>
        <w:rPr>
          <w:rFonts w:ascii="Arial" w:hAnsi="Arial" w:cs="Arial"/>
          <w:b/>
          <w:sz w:val="24"/>
          <w:szCs w:val="24"/>
        </w:rPr>
        <w:t>Kent and Medway Mental Health NHS Trust (KMMH)</w:t>
      </w:r>
      <w:r>
        <w:rPr>
          <w:rFonts w:ascii="Arial" w:hAnsi="Arial" w:cs="Arial"/>
          <w:b/>
          <w:sz w:val="24"/>
          <w:szCs w:val="24"/>
        </w:rPr>
        <w:t xml:space="preserve"> Workforce Disability Equality Standard – 2024/2025</w:t>
      </w:r>
    </w:p>
    <w:p w:rsidR="005062B0" w:rsidRDefault="007E3C87">
      <w:pPr>
        <w:spacing w:after="0" w:line="240" w:lineRule="auto"/>
      </w:pPr>
      <w:r>
        <w:rPr>
          <w:rFonts w:ascii="Arial" w:hAnsi="Arial" w:cs="Arial"/>
          <w:sz w:val="24"/>
          <w:szCs w:val="24"/>
        </w:rPr>
        <w:t xml:space="preserve">The Workforce Disability Equality Standard (WDES) was launched in March 2019 and required NHS Trusts to measure disabled staff </w:t>
      </w:r>
      <w:r>
        <w:rPr>
          <w:rFonts w:ascii="Arial" w:hAnsi="Arial" w:cs="Arial"/>
          <w:sz w:val="24"/>
          <w:szCs w:val="24"/>
        </w:rPr>
        <w:t>outcomes against a set of ten specific measures (metrics) in comparison to the experiences of non-disabled staff. This data</w:t>
      </w:r>
      <w:r>
        <w:rPr>
          <w:rStyle w:val="FootnoteReference"/>
          <w:rFonts w:ascii="Arial" w:hAnsi="Arial" w:cs="Arial"/>
          <w:sz w:val="24"/>
          <w:szCs w:val="24"/>
        </w:rPr>
        <w:footnoteReference w:id="1"/>
      </w:r>
      <w:r>
        <w:rPr>
          <w:rFonts w:ascii="Arial" w:hAnsi="Arial" w:cs="Arial"/>
          <w:sz w:val="24"/>
          <w:szCs w:val="24"/>
        </w:rPr>
        <w:t xml:space="preserve"> recorded has been analysed by KMMH</w:t>
      </w:r>
      <w:r>
        <w:rPr>
          <w:rFonts w:ascii="Arial" w:hAnsi="Arial" w:cs="Arial"/>
          <w:sz w:val="24"/>
          <w:szCs w:val="24"/>
        </w:rPr>
        <w:t xml:space="preserve"> to d</w:t>
      </w:r>
      <w:r>
        <w:rPr>
          <w:rFonts w:ascii="Arial" w:hAnsi="Arial" w:cs="Arial"/>
          <w:sz w:val="24"/>
          <w:szCs w:val="24"/>
        </w:rPr>
        <w:t>evelop a local action plan and enable KMMH</w:t>
      </w:r>
      <w:r>
        <w:rPr>
          <w:rFonts w:ascii="Arial" w:hAnsi="Arial" w:cs="Arial"/>
          <w:sz w:val="24"/>
          <w:szCs w:val="24"/>
        </w:rPr>
        <w:t xml:space="preserve"> to demonstrate progress against the indicators of disability equality.  As part of the NHS Standard Contract, KMMH</w:t>
      </w:r>
      <w:r>
        <w:rPr>
          <w:rFonts w:ascii="Arial" w:hAnsi="Arial" w:cs="Arial"/>
          <w:sz w:val="24"/>
          <w:szCs w:val="24"/>
        </w:rPr>
        <w:t xml:space="preserve"> is required to provide data for the metrics 1, 2, 3, 9b and 10 using data from ESR and for</w:t>
      </w:r>
    </w:p>
    <w:p w:rsidR="005062B0" w:rsidRDefault="007E3C87">
      <w:pPr>
        <w:spacing w:after="0" w:line="240" w:lineRule="auto"/>
        <w:rPr>
          <w:rFonts w:ascii="Arial" w:hAnsi="Arial" w:cs="Arial"/>
          <w:sz w:val="24"/>
          <w:szCs w:val="24"/>
        </w:rPr>
      </w:pPr>
      <w:r>
        <w:rPr>
          <w:rFonts w:ascii="Arial" w:hAnsi="Arial" w:cs="Arial"/>
          <w:sz w:val="24"/>
          <w:szCs w:val="24"/>
        </w:rPr>
        <w:t>metrics</w:t>
      </w:r>
      <w:r>
        <w:rPr>
          <w:rFonts w:ascii="Arial" w:hAnsi="Arial" w:cs="Arial"/>
          <w:sz w:val="24"/>
          <w:szCs w:val="24"/>
        </w:rPr>
        <w:t xml:space="preserve"> 4, 5, 6, 7, 8 and from the Staff Survey.</w:t>
      </w:r>
    </w:p>
    <w:p w:rsidR="005062B0" w:rsidRDefault="005062B0">
      <w:pPr>
        <w:pStyle w:val="ListParagraph"/>
        <w:spacing w:after="0" w:line="240" w:lineRule="auto"/>
        <w:ind w:left="0"/>
        <w:jc w:val="both"/>
        <w:rPr>
          <w:rFonts w:ascii="Arial" w:hAnsi="Arial" w:cs="Arial"/>
          <w:sz w:val="24"/>
          <w:szCs w:val="24"/>
        </w:rPr>
      </w:pPr>
    </w:p>
    <w:p w:rsidR="005062B0" w:rsidRDefault="007E3C87">
      <w:pPr>
        <w:jc w:val="both"/>
      </w:pPr>
      <w:r>
        <w:rPr>
          <w:rFonts w:ascii="Arial" w:hAnsi="Arial" w:cs="Arial"/>
          <w:sz w:val="24"/>
          <w:szCs w:val="24"/>
        </w:rPr>
        <w:t>Overall the data shows a representation of disabled staff across KMMH</w:t>
      </w:r>
      <w:r>
        <w:rPr>
          <w:rFonts w:ascii="Arial" w:hAnsi="Arial" w:cs="Arial"/>
          <w:sz w:val="24"/>
          <w:szCs w:val="24"/>
        </w:rPr>
        <w:t xml:space="preserve"> has increased to 7.8% a slight increase on the 2023/2024 figure of 7.69%.  In accordance with NHS England’s WDES data, the national average of </w:t>
      </w:r>
      <w:r>
        <w:rPr>
          <w:rFonts w:ascii="Arial" w:hAnsi="Arial" w:cs="Arial"/>
          <w:sz w:val="24"/>
          <w:szCs w:val="24"/>
        </w:rPr>
        <w:t xml:space="preserve">disability representation in the NHS is </w:t>
      </w:r>
      <w:r>
        <w:rPr>
          <w:rFonts w:ascii="Arial" w:hAnsi="Arial" w:cs="Arial"/>
          <w:color w:val="FF0000"/>
          <w:sz w:val="24"/>
          <w:szCs w:val="24"/>
        </w:rPr>
        <w:t>4.9%</w:t>
      </w:r>
      <w:r>
        <w:rPr>
          <w:rStyle w:val="FootnoteReference"/>
          <w:rFonts w:ascii="Arial" w:hAnsi="Arial" w:cs="Arial"/>
          <w:color w:val="FF0000"/>
          <w:sz w:val="24"/>
          <w:szCs w:val="24"/>
        </w:rPr>
        <w:footnoteReference w:id="2"/>
      </w:r>
      <w:r>
        <w:rPr>
          <w:rFonts w:ascii="Arial" w:hAnsi="Arial" w:cs="Arial"/>
          <w:color w:val="FF0000"/>
          <w:sz w:val="24"/>
          <w:szCs w:val="24"/>
        </w:rPr>
        <w:t>.</w:t>
      </w:r>
    </w:p>
    <w:p w:rsidR="005062B0" w:rsidRDefault="007E3C87">
      <w:pPr>
        <w:spacing w:after="0" w:line="240" w:lineRule="auto"/>
        <w:rPr>
          <w:rFonts w:ascii="Arial" w:hAnsi="Arial" w:cs="Arial"/>
          <w:sz w:val="24"/>
          <w:szCs w:val="24"/>
        </w:rPr>
      </w:pPr>
      <w:r>
        <w:rPr>
          <w:rFonts w:ascii="Arial" w:hAnsi="Arial" w:cs="Arial"/>
          <w:sz w:val="24"/>
          <w:szCs w:val="24"/>
        </w:rPr>
        <w:t>Below is a breakdown of KMMH</w:t>
      </w:r>
      <w:r>
        <w:rPr>
          <w:rFonts w:ascii="Arial" w:hAnsi="Arial" w:cs="Arial"/>
          <w:sz w:val="24"/>
          <w:szCs w:val="24"/>
        </w:rPr>
        <w:t>’s WDES and action plan:</w:t>
      </w:r>
    </w:p>
    <w:p w:rsidR="005062B0" w:rsidRDefault="007E3C87">
      <w:pPr>
        <w:spacing w:before="120" w:after="120" w:line="336" w:lineRule="auto"/>
      </w:pPr>
      <w:r>
        <w:rPr>
          <w:rFonts w:ascii="Arial Bold" w:eastAsia="Arial Bold" w:hAnsi="Arial Bold" w:cs="Arial Bold"/>
          <w:b/>
          <w:bCs/>
          <w:color w:val="272D3A"/>
          <w:sz w:val="24"/>
          <w:szCs w:val="24"/>
        </w:rPr>
        <w:t>Workforce</w:t>
      </w:r>
      <w:r>
        <w:rPr>
          <w:rFonts w:ascii="Arial Bold" w:eastAsia="Arial Bold" w:hAnsi="Arial Bold" w:cs="Arial Bold"/>
          <w:b/>
          <w:bCs/>
          <w:color w:val="272D3A"/>
          <w:spacing w:val="-4"/>
          <w:sz w:val="24"/>
          <w:szCs w:val="24"/>
        </w:rPr>
        <w:t xml:space="preserve"> </w:t>
      </w:r>
      <w:r>
        <w:rPr>
          <w:rFonts w:ascii="Arial Bold" w:eastAsia="Arial Bold" w:hAnsi="Arial Bold" w:cs="Arial Bold"/>
          <w:b/>
          <w:bCs/>
          <w:color w:val="272D3A"/>
          <w:sz w:val="24"/>
          <w:szCs w:val="24"/>
        </w:rPr>
        <w:t>disability</w:t>
      </w:r>
      <w:r>
        <w:rPr>
          <w:rFonts w:ascii="Arial Bold" w:eastAsia="Arial Bold" w:hAnsi="Arial Bold" w:cs="Arial Bold"/>
          <w:b/>
          <w:bCs/>
          <w:color w:val="272D3A"/>
          <w:spacing w:val="-1"/>
          <w:sz w:val="24"/>
          <w:szCs w:val="24"/>
        </w:rPr>
        <w:t xml:space="preserve"> </w:t>
      </w:r>
      <w:r>
        <w:rPr>
          <w:rFonts w:ascii="Arial Bold" w:eastAsia="Arial Bold" w:hAnsi="Arial Bold" w:cs="Arial Bold"/>
          <w:b/>
          <w:bCs/>
          <w:color w:val="272D3A"/>
          <w:sz w:val="24"/>
          <w:szCs w:val="24"/>
        </w:rPr>
        <w:t>representation</w:t>
      </w:r>
      <w:r>
        <w:rPr>
          <w:rFonts w:ascii="Arial Bold" w:eastAsia="Arial Bold" w:hAnsi="Arial Bold" w:cs="Arial Bold"/>
          <w:b/>
          <w:bCs/>
          <w:color w:val="272D3A"/>
          <w:spacing w:val="-1"/>
          <w:sz w:val="24"/>
          <w:szCs w:val="24"/>
        </w:rPr>
        <w:t xml:space="preserve"> </w:t>
      </w:r>
      <w:r>
        <w:rPr>
          <w:rFonts w:ascii="Arial Bold" w:eastAsia="Arial Bold" w:hAnsi="Arial Bold" w:cs="Arial Bold"/>
          <w:b/>
          <w:bCs/>
          <w:color w:val="272D3A"/>
          <w:sz w:val="24"/>
          <w:szCs w:val="24"/>
        </w:rPr>
        <w:t>(WDES</w:t>
      </w:r>
      <w:r>
        <w:rPr>
          <w:rFonts w:ascii="Arial Bold" w:eastAsia="Arial Bold" w:hAnsi="Arial Bold" w:cs="Arial Bold"/>
          <w:b/>
          <w:bCs/>
          <w:color w:val="272D3A"/>
          <w:spacing w:val="-5"/>
          <w:sz w:val="24"/>
          <w:szCs w:val="24"/>
        </w:rPr>
        <w:t xml:space="preserve"> </w:t>
      </w:r>
      <w:r>
        <w:rPr>
          <w:rFonts w:ascii="Arial Bold" w:eastAsia="Arial Bold" w:hAnsi="Arial Bold" w:cs="Arial Bold"/>
          <w:b/>
          <w:bCs/>
          <w:color w:val="272D3A"/>
          <w:sz w:val="24"/>
          <w:szCs w:val="24"/>
        </w:rPr>
        <w:t>1)</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The proportion of staff who have recorded a disability is currently 7.8%, which is an increase from 7.69% the previous year. However, </w:t>
      </w:r>
      <w:r>
        <w:rPr>
          <w:rFonts w:ascii="Arial" w:eastAsia="Arial" w:hAnsi="Arial" w:cs="Arial"/>
          <w:color w:val="000000"/>
          <w:sz w:val="24"/>
          <w:szCs w:val="24"/>
        </w:rPr>
        <w:t>the national staff survey indicates 32.7% staff have a disability, which is, again, an increase from 30.6% the previous year.  This highlights a gap in KMMH</w:t>
      </w:r>
      <w:r>
        <w:rPr>
          <w:rFonts w:ascii="Arial" w:eastAsia="Arial" w:hAnsi="Arial" w:cs="Arial"/>
          <w:color w:val="000000"/>
          <w:sz w:val="24"/>
          <w:szCs w:val="24"/>
        </w:rPr>
        <w:t>’s ability to identify staff with a disability, which needs to be addressed in order to best meet th</w:t>
      </w:r>
      <w:r>
        <w:rPr>
          <w:rFonts w:ascii="Arial" w:eastAsia="Arial" w:hAnsi="Arial" w:cs="Arial"/>
          <w:color w:val="000000"/>
          <w:sz w:val="24"/>
          <w:szCs w:val="24"/>
        </w:rPr>
        <w:t xml:space="preserve">e needs of this significant part of the workforce. </w:t>
      </w:r>
    </w:p>
    <w:p w:rsidR="005062B0" w:rsidRDefault="007E3C87">
      <w:pPr>
        <w:spacing w:before="120" w:after="120"/>
        <w:jc w:val="center"/>
      </w:pPr>
      <w:r>
        <w:rPr>
          <w:noProof/>
        </w:rPr>
        <w:drawing>
          <wp:inline distT="0" distB="0" distL="0" distR="0">
            <wp:extent cx="3800475" cy="2319951"/>
            <wp:effectExtent l="0" t="0" r="9525" b="4149"/>
            <wp:docPr id="3" name="Drawing 15" descr="a0530c19bcdc457a854a879ec412182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800475" cy="2319951"/>
                    </a:xfrm>
                    <a:prstGeom prst="rect">
                      <a:avLst/>
                    </a:prstGeom>
                    <a:noFill/>
                    <a:ln>
                      <a:noFill/>
                      <a:prstDash/>
                    </a:ln>
                  </pic:spPr>
                </pic:pic>
              </a:graphicData>
            </a:graphic>
          </wp:inline>
        </w:drawing>
      </w:r>
    </w:p>
    <w:p w:rsidR="005062B0" w:rsidRDefault="007E3C87">
      <w:pPr>
        <w:spacing w:before="120" w:after="120" w:line="336" w:lineRule="auto"/>
      </w:pPr>
      <w:r>
        <w:rPr>
          <w:rFonts w:ascii="Arimo" w:eastAsia="Arimo" w:hAnsi="Arimo" w:cs="Arimo"/>
          <w:color w:val="000000"/>
          <w:sz w:val="24"/>
          <w:szCs w:val="24"/>
        </w:rPr>
        <w:t xml:space="preserve"> </w:t>
      </w:r>
    </w:p>
    <w:p w:rsidR="005062B0" w:rsidRDefault="007E3C87">
      <w:pPr>
        <w:spacing w:before="120" w:after="120" w:line="336" w:lineRule="auto"/>
      </w:pPr>
      <w:r>
        <w:rPr>
          <w:rFonts w:ascii="Arial Bold" w:eastAsia="Arial Bold" w:hAnsi="Arial Bold" w:cs="Arial Bold"/>
          <w:b/>
          <w:bCs/>
          <w:color w:val="000000"/>
          <w:sz w:val="24"/>
          <w:szCs w:val="24"/>
        </w:rPr>
        <w:lastRenderedPageBreak/>
        <w:t>Non-Clinical Staff</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Most non-clinical staff identify as non-disabled, with disabled representation varying widely across bands.</w:t>
      </w:r>
      <w:r>
        <w:rPr>
          <w:rFonts w:ascii="Arimo" w:eastAsia="Arimo" w:hAnsi="Arimo" w:cs="Arimo"/>
          <w:color w:val="000000"/>
          <w:sz w:val="24"/>
          <w:szCs w:val="24"/>
        </w:rPr>
        <w:t xml:space="preserve"> </w:t>
      </w:r>
    </w:p>
    <w:p w:rsidR="005062B0" w:rsidRDefault="007E3C87">
      <w:pPr>
        <w:numPr>
          <w:ilvl w:val="0"/>
          <w:numId w:val="1"/>
        </w:numPr>
        <w:spacing w:after="0" w:line="336" w:lineRule="auto"/>
      </w:pPr>
      <w:r>
        <w:rPr>
          <w:rFonts w:ascii="Arial" w:eastAsia="Arial" w:hAnsi="Arial" w:cs="Arial"/>
          <w:color w:val="000000"/>
          <w:sz w:val="24"/>
          <w:szCs w:val="24"/>
        </w:rPr>
        <w:t xml:space="preserve">Highest representation: Band 7 (14.6%) and Band 8c (13.6%) show the </w:t>
      </w:r>
      <w:r>
        <w:rPr>
          <w:rFonts w:ascii="Arial" w:eastAsia="Arial" w:hAnsi="Arial" w:cs="Arial"/>
          <w:color w:val="000000"/>
          <w:sz w:val="24"/>
          <w:szCs w:val="24"/>
        </w:rPr>
        <w:t>strongest disabled staff presence.</w:t>
      </w:r>
      <w:r>
        <w:rPr>
          <w:rFonts w:ascii="Arimo" w:eastAsia="Arimo" w:hAnsi="Arimo" w:cs="Arimo"/>
          <w:color w:val="000000"/>
          <w:sz w:val="24"/>
          <w:szCs w:val="24"/>
        </w:rPr>
        <w:t xml:space="preserve"> </w:t>
      </w:r>
    </w:p>
    <w:p w:rsidR="005062B0" w:rsidRDefault="007E3C87">
      <w:pPr>
        <w:numPr>
          <w:ilvl w:val="0"/>
          <w:numId w:val="1"/>
        </w:numPr>
        <w:spacing w:after="0" w:line="336" w:lineRule="auto"/>
      </w:pPr>
      <w:r>
        <w:rPr>
          <w:rFonts w:ascii="Arial" w:eastAsia="Arial" w:hAnsi="Arial" w:cs="Arial"/>
          <w:color w:val="000000"/>
          <w:sz w:val="24"/>
          <w:szCs w:val="24"/>
        </w:rPr>
        <w:t>Lowest representation: Bands 9, and VSM have 0% declared disabled staff.</w:t>
      </w:r>
      <w:r>
        <w:rPr>
          <w:rFonts w:ascii="Arimo" w:eastAsia="Arimo" w:hAnsi="Arimo" w:cs="Arimo"/>
          <w:color w:val="000000"/>
          <w:sz w:val="24"/>
          <w:szCs w:val="24"/>
        </w:rPr>
        <w:t xml:space="preserve"> </w:t>
      </w:r>
    </w:p>
    <w:p w:rsidR="005062B0" w:rsidRDefault="007E3C87">
      <w:pPr>
        <w:numPr>
          <w:ilvl w:val="0"/>
          <w:numId w:val="1"/>
        </w:numPr>
        <w:spacing w:after="0" w:line="336" w:lineRule="auto"/>
      </w:pPr>
      <w:r>
        <w:rPr>
          <w:rFonts w:ascii="Arial" w:eastAsia="Arial" w:hAnsi="Arial" w:cs="Arial"/>
          <w:color w:val="000000"/>
          <w:sz w:val="24"/>
          <w:szCs w:val="24"/>
        </w:rPr>
        <w:t>Unknown rates: Very high in senior roles – 44.4% in Band 9 and 73.3% in VSM, limiting data reliability.</w:t>
      </w:r>
      <w:r>
        <w:rPr>
          <w:rFonts w:ascii="Arimo" w:eastAsia="Arimo" w:hAnsi="Arimo" w:cs="Arimo"/>
          <w:color w:val="000000"/>
          <w:sz w:val="24"/>
          <w:szCs w:val="24"/>
        </w:rPr>
        <w:t xml:space="preserve"> </w:t>
      </w:r>
    </w:p>
    <w:p w:rsidR="005062B0" w:rsidRDefault="007E3C87">
      <w:pPr>
        <w:numPr>
          <w:ilvl w:val="0"/>
          <w:numId w:val="1"/>
        </w:numPr>
        <w:spacing w:after="0" w:line="336" w:lineRule="auto"/>
      </w:pPr>
      <w:r>
        <w:rPr>
          <w:rFonts w:ascii="Arial" w:eastAsia="Arial" w:hAnsi="Arial" w:cs="Arial"/>
          <w:color w:val="000000"/>
          <w:sz w:val="24"/>
          <w:szCs w:val="24"/>
        </w:rPr>
        <w:t>Band 2 Disabled staff are only 3.1%, sugg</w:t>
      </w:r>
      <w:r>
        <w:rPr>
          <w:rFonts w:ascii="Arial" w:eastAsia="Arial" w:hAnsi="Arial" w:cs="Arial"/>
          <w:color w:val="000000"/>
          <w:sz w:val="24"/>
          <w:szCs w:val="24"/>
        </w:rPr>
        <w:t>esting potential barriers to recruitment or disclosure at lower levels.</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While there is positive mid-band representation, disabled staff are absent from senior leadership and underrepresented at entry levels, with high “unknown” rates at the top masking th</w:t>
      </w:r>
      <w:r>
        <w:rPr>
          <w:rFonts w:ascii="Arial" w:eastAsia="Arial" w:hAnsi="Arial" w:cs="Arial"/>
          <w:color w:val="000000"/>
          <w:sz w:val="24"/>
          <w:szCs w:val="24"/>
        </w:rPr>
        <w:t>e true picture.</w:t>
      </w:r>
      <w:r>
        <w:rPr>
          <w:rFonts w:ascii="Arimo" w:eastAsia="Arimo" w:hAnsi="Arimo" w:cs="Arimo"/>
          <w:color w:val="000000"/>
          <w:sz w:val="24"/>
          <w:szCs w:val="24"/>
        </w:rPr>
        <w:t xml:space="preserve"> </w:t>
      </w:r>
    </w:p>
    <w:p w:rsidR="005062B0" w:rsidRDefault="007E3C87">
      <w:pPr>
        <w:spacing w:before="120" w:after="120"/>
        <w:jc w:val="center"/>
      </w:pPr>
      <w:r>
        <w:rPr>
          <w:noProof/>
        </w:rPr>
        <w:drawing>
          <wp:inline distT="0" distB="0" distL="0" distR="0">
            <wp:extent cx="3846880" cy="2311959"/>
            <wp:effectExtent l="0" t="0" r="1220" b="0"/>
            <wp:docPr id="4" name="Drawing 16" descr="ea1076a15c0d0153a7eeb4ed0d0d363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846880" cy="2311959"/>
                    </a:xfrm>
                    <a:prstGeom prst="rect">
                      <a:avLst/>
                    </a:prstGeom>
                    <a:noFill/>
                    <a:ln>
                      <a:noFill/>
                      <a:prstDash/>
                    </a:ln>
                  </pic:spPr>
                </pic:pic>
              </a:graphicData>
            </a:graphic>
          </wp:inline>
        </w:drawing>
      </w:r>
    </w:p>
    <w:p w:rsidR="005062B0" w:rsidRDefault="007E3C87">
      <w:pPr>
        <w:spacing w:before="120" w:after="120" w:line="336" w:lineRule="auto"/>
      </w:pPr>
      <w:r>
        <w:rPr>
          <w:rFonts w:ascii="Arial Bold" w:eastAsia="Arial Bold" w:hAnsi="Arial Bold" w:cs="Arial Bold"/>
          <w:b/>
          <w:bCs/>
          <w:color w:val="000000"/>
          <w:sz w:val="24"/>
          <w:szCs w:val="24"/>
        </w:rPr>
        <w:t>Clinical Staff</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The majority of clinical staff across all bands identify as non-disabled (generally 73–83%). Disabled staff representation varies between 2.6% and 12.5%, with no declared disabled staff in Band 9 or VSM. Unknown/null </w:t>
      </w:r>
      <w:r>
        <w:rPr>
          <w:rFonts w:ascii="Arial" w:eastAsia="Arial" w:hAnsi="Arial" w:cs="Arial"/>
          <w:color w:val="000000"/>
          <w:sz w:val="24"/>
          <w:szCs w:val="24"/>
        </w:rPr>
        <w:t>rates remain high in some areas, particularly Band 5 (28.7%), Band 6 (18.1%), and VSM (100%).</w:t>
      </w:r>
      <w:r>
        <w:rPr>
          <w:rFonts w:ascii="Arimo" w:eastAsia="Arimo" w:hAnsi="Arimo" w:cs="Arimo"/>
          <w:color w:val="000000"/>
          <w:sz w:val="24"/>
          <w:szCs w:val="24"/>
        </w:rPr>
        <w:t xml:space="preserve"> </w:t>
      </w:r>
    </w:p>
    <w:p w:rsidR="005062B0" w:rsidRDefault="007E3C87">
      <w:pPr>
        <w:pStyle w:val="ListParagraph"/>
        <w:numPr>
          <w:ilvl w:val="0"/>
          <w:numId w:val="2"/>
        </w:num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Distribution of disabled staff is fairly equal across pay bands.</w:t>
      </w:r>
    </w:p>
    <w:p w:rsidR="005062B0" w:rsidRDefault="007E3C87">
      <w:pPr>
        <w:pStyle w:val="ListParagraph"/>
        <w:numPr>
          <w:ilvl w:val="0"/>
          <w:numId w:val="2"/>
        </w:num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Of the lower banded posts, Band 2 has the lowest representation of disabled staff at 2.62%.  Ban</w:t>
      </w:r>
      <w:r>
        <w:rPr>
          <w:rFonts w:ascii="Arial" w:eastAsia="Arial" w:hAnsi="Arial" w:cs="Arial"/>
          <w:color w:val="000000"/>
          <w:sz w:val="24"/>
          <w:szCs w:val="24"/>
        </w:rPr>
        <w:t xml:space="preserve">ds 3 and 4 show stronger representation (10.6% and 7.9%) with relatively low unknown rates (~9–11%). </w:t>
      </w:r>
    </w:p>
    <w:p w:rsidR="005062B0" w:rsidRDefault="007E3C87">
      <w:pPr>
        <w:pStyle w:val="ListParagraph"/>
        <w:numPr>
          <w:ilvl w:val="0"/>
          <w:numId w:val="2"/>
        </w:num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lastRenderedPageBreak/>
        <w:t>Disabled staff representation is marginally more consistent amongst the middle pay bands, ranging from 7.9% to 10.7%). Band 5 is notable for its very high</w:t>
      </w:r>
      <w:r>
        <w:rPr>
          <w:rFonts w:ascii="Arial" w:eastAsia="Arial" w:hAnsi="Arial" w:cs="Arial"/>
          <w:color w:val="000000"/>
          <w:sz w:val="24"/>
          <w:szCs w:val="24"/>
        </w:rPr>
        <w:t xml:space="preserve"> unknown rate (28.7%), which may mask true representation.  </w:t>
      </w:r>
    </w:p>
    <w:p w:rsidR="005062B0" w:rsidRDefault="007E3C87">
      <w:pPr>
        <w:pStyle w:val="ListParagraph"/>
        <w:numPr>
          <w:ilvl w:val="0"/>
          <w:numId w:val="2"/>
        </w:num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Band 7 has one of the highest proportions of disabled staff at 10.7% with other senior bands (8a–8d) being broadly consistent.</w:t>
      </w:r>
    </w:p>
    <w:p w:rsidR="005062B0" w:rsidRDefault="007E3C87">
      <w:pPr>
        <w:pStyle w:val="ListParagraph"/>
        <w:numPr>
          <w:ilvl w:val="0"/>
          <w:numId w:val="2"/>
        </w:numPr>
        <w:spacing w:before="120" w:after="120" w:line="336" w:lineRule="auto"/>
      </w:pPr>
      <w:r>
        <w:rPr>
          <w:rFonts w:ascii="Arial" w:eastAsia="Arial" w:hAnsi="Arial" w:cs="Arial"/>
          <w:color w:val="000000"/>
          <w:sz w:val="24"/>
          <w:szCs w:val="24"/>
        </w:rPr>
        <w:t>There are no staff who have disclosed disability in Band 9 or VSM ro</w:t>
      </w:r>
      <w:r>
        <w:rPr>
          <w:rFonts w:ascii="Arial" w:eastAsia="Arial" w:hAnsi="Arial" w:cs="Arial"/>
          <w:color w:val="000000"/>
          <w:sz w:val="24"/>
          <w:szCs w:val="24"/>
        </w:rPr>
        <w:t>les. Band 9 has a 16.7% unknown rate, and VSM is entirely 100% unknown, making representation at the most senior levels unclear.</w:t>
      </w:r>
      <w:r>
        <w:rPr>
          <w:rFonts w:ascii="Arimo" w:eastAsia="Arimo" w:hAnsi="Arimo" w:cs="Arimo"/>
          <w:color w:val="000000"/>
          <w:sz w:val="24"/>
          <w:szCs w:val="24"/>
        </w:rPr>
        <w:t xml:space="preserve"> </w:t>
      </w:r>
    </w:p>
    <w:p w:rsidR="005062B0" w:rsidRDefault="007E3C87">
      <w:pPr>
        <w:spacing w:before="120" w:after="120"/>
        <w:jc w:val="center"/>
      </w:pPr>
      <w:r>
        <w:rPr>
          <w:noProof/>
        </w:rPr>
        <w:drawing>
          <wp:inline distT="0" distB="0" distL="0" distR="0">
            <wp:extent cx="4285125" cy="2575398"/>
            <wp:effectExtent l="0" t="0" r="1125" b="0"/>
            <wp:docPr id="5" name="Drawing 17" descr="52aafbc63b904e6a619ede6f22cf080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285125" cy="2575398"/>
                    </a:xfrm>
                    <a:prstGeom prst="rect">
                      <a:avLst/>
                    </a:prstGeom>
                    <a:noFill/>
                    <a:ln>
                      <a:noFill/>
                      <a:prstDash/>
                    </a:ln>
                  </pic:spPr>
                </pic:pic>
              </a:graphicData>
            </a:graphic>
          </wp:inline>
        </w:drawing>
      </w:r>
    </w:p>
    <w:p w:rsidR="005062B0" w:rsidRDefault="007E3C87">
      <w:pPr>
        <w:spacing w:before="120" w:after="120" w:line="336" w:lineRule="auto"/>
      </w:pPr>
      <w:r>
        <w:rPr>
          <w:rFonts w:ascii="Arial Bold" w:eastAsia="Arial Bold" w:hAnsi="Arial Bold" w:cs="Arial Bold"/>
          <w:b/>
          <w:bCs/>
          <w:color w:val="272D3A"/>
          <w:sz w:val="24"/>
          <w:szCs w:val="24"/>
        </w:rPr>
        <w:t>Shortlisting-to-appointment</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for staff with disabilities</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(WDES</w:t>
      </w:r>
      <w:r>
        <w:rPr>
          <w:rFonts w:ascii="Arial Bold" w:eastAsia="Arial Bold" w:hAnsi="Arial Bold" w:cs="Arial Bold"/>
          <w:b/>
          <w:bCs/>
          <w:color w:val="272D3A"/>
          <w:spacing w:val="-4"/>
          <w:sz w:val="24"/>
          <w:szCs w:val="24"/>
        </w:rPr>
        <w:t xml:space="preserve"> </w:t>
      </w:r>
      <w:r>
        <w:rPr>
          <w:rFonts w:ascii="Arial Bold" w:eastAsia="Arial Bold" w:hAnsi="Arial Bold" w:cs="Arial Bold"/>
          <w:b/>
          <w:bCs/>
          <w:color w:val="272D3A"/>
          <w:sz w:val="24"/>
          <w:szCs w:val="24"/>
        </w:rPr>
        <w:t>2)</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The data for 2024/2025 shows that disabled applicants made</w:t>
      </w:r>
      <w:r>
        <w:rPr>
          <w:rFonts w:ascii="Arial" w:eastAsia="Arial" w:hAnsi="Arial" w:cs="Arial"/>
          <w:color w:val="000000"/>
          <w:sz w:val="24"/>
          <w:szCs w:val="24"/>
        </w:rPr>
        <w:t xml:space="preserve"> up 9.8% of shortlisted candidates (493 out of 5,009). At the appointment stage, 20 disabled applicants were successful, representing a 4.05% appointment rate. This compares with a 3.66% appointment rate for non-disabled applicants and 6.20% for those who </w:t>
      </w:r>
      <w:r>
        <w:rPr>
          <w:rFonts w:ascii="Arial" w:eastAsia="Arial" w:hAnsi="Arial" w:cs="Arial"/>
          <w:color w:val="000000"/>
          <w:sz w:val="24"/>
          <w:szCs w:val="24"/>
        </w:rPr>
        <w:t>did not state their disability status.</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The likelihood ratio for appointment between disabled and non-disabled applicants was 0.92, which is close to parity (1.0). This indicates that disabled applicants were appointed at a rate broadly comparable to, and </w:t>
      </w:r>
      <w:r>
        <w:rPr>
          <w:rFonts w:ascii="Arial" w:eastAsia="Arial" w:hAnsi="Arial" w:cs="Arial"/>
          <w:color w:val="000000"/>
          <w:sz w:val="24"/>
          <w:szCs w:val="24"/>
        </w:rPr>
        <w:t>slightly higher than, their non-disabled counterparts.</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Overall, the data suggests that disabled applicants are progressing through the recruitment process fairly and that there is no evidence of disadvantage at either the shortlisting </w:t>
      </w:r>
      <w:r>
        <w:rPr>
          <w:rFonts w:ascii="Arial" w:eastAsia="Arial" w:hAnsi="Arial" w:cs="Arial"/>
          <w:color w:val="000000"/>
          <w:sz w:val="24"/>
          <w:szCs w:val="24"/>
        </w:rPr>
        <w:t>or appointment stag</w:t>
      </w:r>
      <w:r>
        <w:rPr>
          <w:rFonts w:ascii="Arial" w:eastAsia="Arial" w:hAnsi="Arial" w:cs="Arial"/>
          <w:color w:val="000000"/>
          <w:sz w:val="24"/>
          <w:szCs w:val="24"/>
        </w:rPr>
        <w:t>e</w:t>
      </w:r>
      <w:r>
        <w:rPr>
          <w:rFonts w:ascii="Arial" w:eastAsia="Arial" w:hAnsi="Arial" w:cs="Arial"/>
          <w:color w:val="000000"/>
          <w:sz w:val="24"/>
          <w:szCs w:val="24"/>
        </w:rPr>
        <w:t>s.</w:t>
      </w:r>
    </w:p>
    <w:p w:rsidR="005062B0" w:rsidRDefault="005062B0">
      <w:pPr>
        <w:spacing w:before="120" w:after="120"/>
        <w:jc w:val="center"/>
      </w:pPr>
    </w:p>
    <w:p w:rsidR="005062B0" w:rsidRDefault="007E3C87">
      <w:pPr>
        <w:spacing w:before="120" w:after="120" w:line="336" w:lineRule="auto"/>
        <w:rPr>
          <w:rFonts w:ascii="Arial Bold" w:eastAsia="Arial Bold" w:hAnsi="Arial Bold" w:cs="Arial Bold"/>
          <w:b/>
          <w:bCs/>
          <w:color w:val="272D3A"/>
          <w:sz w:val="24"/>
          <w:szCs w:val="24"/>
        </w:rPr>
      </w:pPr>
      <w:r>
        <w:rPr>
          <w:noProof/>
        </w:rPr>
        <w:lastRenderedPageBreak/>
        <w:drawing>
          <wp:anchor distT="0" distB="0" distL="114300" distR="114300" simplePos="0" relativeHeight="251659264" behindDoc="1" locked="0" layoutInCell="1" allowOverlap="1">
            <wp:simplePos x="0" y="0"/>
            <wp:positionH relativeFrom="column">
              <wp:posOffset>514350</wp:posOffset>
            </wp:positionH>
            <wp:positionV relativeFrom="page">
              <wp:posOffset>1181100</wp:posOffset>
            </wp:positionV>
            <wp:extent cx="4124325" cy="2795905"/>
            <wp:effectExtent l="0" t="0" r="9525" b="4445"/>
            <wp:wrapTight wrapText="bothSides">
              <wp:wrapPolygon edited="0">
                <wp:start x="0" y="0"/>
                <wp:lineTo x="0" y="21487"/>
                <wp:lineTo x="21550" y="21487"/>
                <wp:lineTo x="21550" y="0"/>
                <wp:lineTo x="0" y="0"/>
              </wp:wrapPolygon>
            </wp:wrapTight>
            <wp:docPr id="6" name="Drawing 18" descr="bc902c68bdfc6c44350dc98775a5f85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24325" cy="279590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7E3C87" w:rsidRDefault="007E3C87">
      <w:pPr>
        <w:spacing w:before="120" w:after="120" w:line="336" w:lineRule="auto"/>
        <w:rPr>
          <w:rFonts w:ascii="Arial Bold" w:eastAsia="Arial Bold" w:hAnsi="Arial Bold" w:cs="Arial Bold"/>
          <w:b/>
          <w:bCs/>
          <w:color w:val="272D3A"/>
          <w:sz w:val="24"/>
          <w:szCs w:val="24"/>
        </w:rPr>
      </w:pPr>
    </w:p>
    <w:p w:rsidR="007E3C87" w:rsidRDefault="007E3C87">
      <w:pPr>
        <w:spacing w:before="120" w:after="120" w:line="336" w:lineRule="auto"/>
        <w:rPr>
          <w:rFonts w:ascii="Arial Bold" w:eastAsia="Arial Bold" w:hAnsi="Arial Bold" w:cs="Arial Bold"/>
          <w:b/>
          <w:bCs/>
          <w:color w:val="272D3A"/>
          <w:sz w:val="24"/>
          <w:szCs w:val="24"/>
        </w:rPr>
      </w:pPr>
    </w:p>
    <w:p w:rsidR="007E3C87" w:rsidRDefault="007E3C87">
      <w:pPr>
        <w:spacing w:before="120" w:after="120" w:line="336" w:lineRule="auto"/>
        <w:rPr>
          <w:rFonts w:ascii="Arial Bold" w:eastAsia="Arial Bold" w:hAnsi="Arial Bold" w:cs="Arial Bold"/>
          <w:b/>
          <w:bCs/>
          <w:color w:val="272D3A"/>
          <w:sz w:val="24"/>
          <w:szCs w:val="24"/>
        </w:rPr>
      </w:pPr>
    </w:p>
    <w:p w:rsidR="007E3C87" w:rsidRDefault="007E3C87">
      <w:pPr>
        <w:spacing w:before="120" w:after="120" w:line="336" w:lineRule="auto"/>
        <w:rPr>
          <w:rFonts w:ascii="Arial Bold" w:eastAsia="Arial Bold" w:hAnsi="Arial Bold" w:cs="Arial Bold"/>
          <w:b/>
          <w:bCs/>
          <w:color w:val="272D3A"/>
          <w:sz w:val="24"/>
          <w:szCs w:val="24"/>
        </w:rPr>
      </w:pPr>
    </w:p>
    <w:p w:rsidR="007E3C87" w:rsidRDefault="007E3C87">
      <w:pPr>
        <w:spacing w:before="120" w:after="120" w:line="336" w:lineRule="auto"/>
        <w:rPr>
          <w:rFonts w:ascii="Arial Bold" w:eastAsia="Arial Bold" w:hAnsi="Arial Bold" w:cs="Arial Bold"/>
          <w:b/>
          <w:bCs/>
          <w:color w:val="272D3A"/>
          <w:sz w:val="24"/>
          <w:szCs w:val="24"/>
        </w:rPr>
      </w:pPr>
    </w:p>
    <w:p w:rsidR="007E3C87" w:rsidRDefault="007E3C87">
      <w:pPr>
        <w:spacing w:before="120" w:after="120" w:line="336" w:lineRule="auto"/>
        <w:rPr>
          <w:rFonts w:ascii="Arial Bold" w:eastAsia="Arial Bold" w:hAnsi="Arial Bold" w:cs="Arial Bold"/>
          <w:b/>
          <w:bCs/>
          <w:color w:val="272D3A"/>
          <w:sz w:val="24"/>
          <w:szCs w:val="24"/>
        </w:rPr>
      </w:pPr>
    </w:p>
    <w:p w:rsidR="007E3C87" w:rsidRDefault="007E3C87">
      <w:pPr>
        <w:spacing w:before="120" w:after="120" w:line="336" w:lineRule="auto"/>
        <w:rPr>
          <w:rFonts w:ascii="Arial Bold" w:eastAsia="Arial Bold" w:hAnsi="Arial Bold" w:cs="Arial Bold"/>
          <w:b/>
          <w:bCs/>
          <w:color w:val="272D3A"/>
          <w:sz w:val="24"/>
          <w:szCs w:val="24"/>
        </w:rPr>
      </w:pPr>
    </w:p>
    <w:p w:rsidR="007E3C87" w:rsidRDefault="007E3C87">
      <w:pPr>
        <w:spacing w:before="120" w:after="120" w:line="336" w:lineRule="auto"/>
        <w:rPr>
          <w:rFonts w:ascii="Arial Bold" w:eastAsia="Arial Bold" w:hAnsi="Arial Bold" w:cs="Arial Bold"/>
          <w:b/>
          <w:bCs/>
          <w:color w:val="272D3A"/>
          <w:sz w:val="24"/>
          <w:szCs w:val="24"/>
        </w:rPr>
      </w:pPr>
    </w:p>
    <w:p w:rsidR="007E3C87" w:rsidRDefault="007E3C87">
      <w:pPr>
        <w:spacing w:before="120" w:after="120" w:line="336" w:lineRule="auto"/>
        <w:rPr>
          <w:rFonts w:ascii="Arial Bold" w:eastAsia="Arial Bold" w:hAnsi="Arial Bold" w:cs="Arial Bold"/>
          <w:b/>
          <w:bCs/>
          <w:color w:val="272D3A"/>
          <w:sz w:val="24"/>
          <w:szCs w:val="24"/>
        </w:rPr>
      </w:pPr>
    </w:p>
    <w:p w:rsidR="005062B0" w:rsidRDefault="007E3C87">
      <w:pPr>
        <w:spacing w:before="120" w:after="120" w:line="336" w:lineRule="auto"/>
      </w:pPr>
      <w:r>
        <w:rPr>
          <w:rFonts w:ascii="Arial Bold" w:eastAsia="Arial Bold" w:hAnsi="Arial Bold" w:cs="Arial Bold"/>
          <w:b/>
          <w:bCs/>
          <w:color w:val="272D3A"/>
          <w:sz w:val="24"/>
          <w:szCs w:val="24"/>
        </w:rPr>
        <w:t>Formal</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capability</w:t>
      </w:r>
      <w:r>
        <w:rPr>
          <w:rFonts w:ascii="Arial Bold" w:eastAsia="Arial Bold" w:hAnsi="Arial Bold" w:cs="Arial Bold"/>
          <w:b/>
          <w:bCs/>
          <w:color w:val="272D3A"/>
          <w:spacing w:val="-3"/>
          <w:sz w:val="24"/>
          <w:szCs w:val="24"/>
        </w:rPr>
        <w:t xml:space="preserve"> </w:t>
      </w:r>
      <w:r>
        <w:rPr>
          <w:rFonts w:ascii="Arial Bold" w:eastAsia="Arial Bold" w:hAnsi="Arial Bold" w:cs="Arial Bold"/>
          <w:b/>
          <w:bCs/>
          <w:color w:val="272D3A"/>
          <w:sz w:val="24"/>
          <w:szCs w:val="24"/>
        </w:rPr>
        <w:t>likelihood</w:t>
      </w:r>
      <w:r>
        <w:rPr>
          <w:rFonts w:ascii="Arial Bold" w:eastAsia="Arial Bold" w:hAnsi="Arial Bold" w:cs="Arial Bold"/>
          <w:b/>
          <w:bCs/>
          <w:color w:val="272D3A"/>
          <w:spacing w:val="-1"/>
          <w:sz w:val="24"/>
          <w:szCs w:val="24"/>
        </w:rPr>
        <w:t xml:space="preserve"> </w:t>
      </w:r>
      <w:r>
        <w:rPr>
          <w:rFonts w:ascii="Arial Bold" w:eastAsia="Arial Bold" w:hAnsi="Arial Bold" w:cs="Arial Bold"/>
          <w:b/>
          <w:bCs/>
          <w:color w:val="272D3A"/>
          <w:sz w:val="24"/>
          <w:szCs w:val="24"/>
        </w:rPr>
        <w:t>for staff with disabilities</w:t>
      </w:r>
      <w:r>
        <w:rPr>
          <w:rFonts w:ascii="Arial Bold" w:eastAsia="Arial Bold" w:hAnsi="Arial Bold" w:cs="Arial Bold"/>
          <w:b/>
          <w:bCs/>
          <w:color w:val="272D3A"/>
          <w:spacing w:val="-1"/>
          <w:sz w:val="24"/>
          <w:szCs w:val="24"/>
        </w:rPr>
        <w:t xml:space="preserve"> </w:t>
      </w:r>
      <w:r>
        <w:rPr>
          <w:rFonts w:ascii="Arial Bold" w:eastAsia="Arial Bold" w:hAnsi="Arial Bold" w:cs="Arial Bold"/>
          <w:b/>
          <w:bCs/>
          <w:color w:val="272D3A"/>
          <w:sz w:val="24"/>
          <w:szCs w:val="24"/>
        </w:rPr>
        <w:t>(WDES</w:t>
      </w:r>
      <w:r>
        <w:rPr>
          <w:rFonts w:ascii="Arial Bold" w:eastAsia="Arial Bold" w:hAnsi="Arial Bold" w:cs="Arial Bold"/>
          <w:b/>
          <w:bCs/>
          <w:color w:val="272D3A"/>
          <w:spacing w:val="-7"/>
          <w:sz w:val="24"/>
          <w:szCs w:val="24"/>
        </w:rPr>
        <w:t xml:space="preserve"> </w:t>
      </w:r>
      <w:r>
        <w:rPr>
          <w:rFonts w:ascii="Arial Bold" w:eastAsia="Arial Bold" w:hAnsi="Arial Bold" w:cs="Arial Bold"/>
          <w:b/>
          <w:bCs/>
          <w:color w:val="272D3A"/>
          <w:sz w:val="24"/>
          <w:szCs w:val="24"/>
        </w:rPr>
        <w:t xml:space="preserve">3)      </w:t>
      </w:r>
      <w:r>
        <w:rPr>
          <w:rFonts w:ascii="Arial" w:eastAsia="Arial" w:hAnsi="Arial" w:cs="Arial"/>
          <w:color w:val="272D3A"/>
        </w:rPr>
        <w:t xml:space="preserve">       </w:t>
      </w:r>
      <w:r>
        <w:rPr>
          <w:rFonts w:ascii="Arial Bold" w:eastAsia="Arial Bold" w:hAnsi="Arial Bold" w:cs="Arial Bold"/>
          <w:b/>
          <w:bCs/>
          <w:color w:val="974705"/>
          <w:sz w:val="14"/>
          <w:szCs w:val="14"/>
        </w:rPr>
        <w:t xml:space="preserve"> </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An analysis of the 2024-2025 data of staff entering a formal capability process shows that 1 disabled staff member and 21 non-disabled staff members were subject to </w:t>
      </w:r>
      <w:r>
        <w:rPr>
          <w:rFonts w:ascii="Arial" w:eastAsia="Arial" w:hAnsi="Arial" w:cs="Arial"/>
          <w:color w:val="000000"/>
          <w:sz w:val="24"/>
          <w:szCs w:val="24"/>
        </w:rPr>
        <w:t>the procedure during the reporting period (for WDES the reporting period was a two-year period - April 2023-March 2025). This represents 0.33% of disabled staff compared with 0.70% of non-disabled staff. No cases across either group were related to ill hea</w:t>
      </w:r>
      <w:r>
        <w:rPr>
          <w:rFonts w:ascii="Arial" w:eastAsia="Arial" w:hAnsi="Arial" w:cs="Arial"/>
          <w:color w:val="000000"/>
          <w:sz w:val="24"/>
          <w:szCs w:val="24"/>
        </w:rPr>
        <w:t>lth.</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The likelihood ratio between disabled and non-disabled staff is 0.46, meaning that disabled staff are less than half as likely to enter the formal capability process as their non-disabled colleagues.</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Overall, this data indicates that disabled staff </w:t>
      </w:r>
      <w:r>
        <w:rPr>
          <w:rFonts w:ascii="Arial" w:eastAsia="Arial" w:hAnsi="Arial" w:cs="Arial"/>
          <w:color w:val="000000"/>
          <w:sz w:val="24"/>
          <w:szCs w:val="24"/>
        </w:rPr>
        <w:t>are not disproportionately involved in formal capability processes. In fact, they appear less likely to be involved, which is a positive outcome from an EDI perspective. Continued monitoring will help to ensure that this trend remains consistent and that n</w:t>
      </w:r>
      <w:r>
        <w:rPr>
          <w:rFonts w:ascii="Arial" w:eastAsia="Arial" w:hAnsi="Arial" w:cs="Arial"/>
          <w:color w:val="000000"/>
          <w:sz w:val="24"/>
          <w:szCs w:val="24"/>
        </w:rPr>
        <w:t xml:space="preserve">o hidden barriers emerge over time </w:t>
      </w:r>
    </w:p>
    <w:p w:rsidR="005062B0" w:rsidRDefault="005062B0">
      <w:pPr>
        <w:spacing w:before="120" w:after="120"/>
        <w:jc w:val="center"/>
      </w:pPr>
    </w:p>
    <w:p w:rsidR="005062B0" w:rsidRDefault="007E3C87">
      <w:pPr>
        <w:spacing w:before="120" w:after="120" w:line="336" w:lineRule="auto"/>
      </w:pPr>
      <w:r>
        <w:rPr>
          <w:noProof/>
        </w:rPr>
        <w:lastRenderedPageBreak/>
        <w:drawing>
          <wp:anchor distT="0" distB="0" distL="114300" distR="114300" simplePos="0" relativeHeight="251660288" behindDoc="1" locked="0" layoutInCell="1" allowOverlap="1">
            <wp:simplePos x="0" y="0"/>
            <wp:positionH relativeFrom="column">
              <wp:posOffset>657225</wp:posOffset>
            </wp:positionH>
            <wp:positionV relativeFrom="paragraph">
              <wp:posOffset>113665</wp:posOffset>
            </wp:positionV>
            <wp:extent cx="4086225" cy="3218267"/>
            <wp:effectExtent l="0" t="0" r="0" b="1270"/>
            <wp:wrapTight wrapText="bothSides">
              <wp:wrapPolygon edited="0">
                <wp:start x="0" y="0"/>
                <wp:lineTo x="0" y="21481"/>
                <wp:lineTo x="21449" y="21481"/>
                <wp:lineTo x="21449" y="0"/>
                <wp:lineTo x="0" y="0"/>
              </wp:wrapPolygon>
            </wp:wrapTight>
            <wp:docPr id="7" name="Drawing 19" descr="4a26928f51a9d5a92cc1d419242608a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086225" cy="3218267"/>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24"/>
          <w:szCs w:val="24"/>
        </w:rPr>
        <w:t xml:space="preserve"> </w:t>
      </w:r>
    </w:p>
    <w:p w:rsidR="005062B0" w:rsidRDefault="007E3C87">
      <w:pPr>
        <w:spacing w:before="120" w:after="120" w:line="336" w:lineRule="auto"/>
      </w:pPr>
      <w:r>
        <w:rPr>
          <w:rFonts w:ascii="Arial Bold" w:eastAsia="Arial Bold" w:hAnsi="Arial Bold" w:cs="Arial Bold"/>
          <w:b/>
          <w:bCs/>
          <w:color w:val="272D3A"/>
          <w:sz w:val="24"/>
          <w:szCs w:val="24"/>
        </w:rPr>
        <w:t>Harassment,</w:t>
      </w:r>
      <w:r>
        <w:rPr>
          <w:rFonts w:ascii="Arial Bold" w:eastAsia="Arial Bold" w:hAnsi="Arial Bold" w:cs="Arial Bold"/>
          <w:b/>
          <w:bCs/>
          <w:color w:val="272D3A"/>
          <w:spacing w:val="-1"/>
          <w:sz w:val="24"/>
          <w:szCs w:val="24"/>
        </w:rPr>
        <w:t xml:space="preserve"> </w:t>
      </w:r>
      <w:r>
        <w:rPr>
          <w:rFonts w:ascii="Arial Bold" w:eastAsia="Arial Bold" w:hAnsi="Arial Bold" w:cs="Arial Bold"/>
          <w:b/>
          <w:bCs/>
          <w:color w:val="272D3A"/>
          <w:sz w:val="24"/>
          <w:szCs w:val="24"/>
        </w:rPr>
        <w:t>bullying</w:t>
      </w:r>
      <w:r>
        <w:rPr>
          <w:rFonts w:ascii="Arial Bold" w:eastAsia="Arial Bold" w:hAnsi="Arial Bold" w:cs="Arial Bold"/>
          <w:b/>
          <w:bCs/>
          <w:color w:val="272D3A"/>
          <w:spacing w:val="-5"/>
          <w:sz w:val="24"/>
          <w:szCs w:val="24"/>
        </w:rPr>
        <w:t xml:space="preserve"> </w:t>
      </w:r>
      <w:r>
        <w:rPr>
          <w:rFonts w:ascii="Arial Bold" w:eastAsia="Arial Bold" w:hAnsi="Arial Bold" w:cs="Arial Bold"/>
          <w:b/>
          <w:bCs/>
          <w:color w:val="272D3A"/>
          <w:sz w:val="24"/>
          <w:szCs w:val="24"/>
        </w:rPr>
        <w:t>or</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abuse</w:t>
      </w:r>
      <w:r>
        <w:rPr>
          <w:rFonts w:ascii="Arial Bold" w:eastAsia="Arial Bold" w:hAnsi="Arial Bold" w:cs="Arial Bold"/>
          <w:b/>
          <w:bCs/>
          <w:color w:val="272D3A"/>
          <w:spacing w:val="1"/>
          <w:sz w:val="24"/>
          <w:szCs w:val="24"/>
        </w:rPr>
        <w:t xml:space="preserve"> for staff with d</w:t>
      </w:r>
      <w:r>
        <w:rPr>
          <w:rFonts w:ascii="Arial Bold" w:eastAsia="Arial Bold" w:hAnsi="Arial Bold" w:cs="Arial Bold"/>
          <w:b/>
          <w:bCs/>
          <w:color w:val="272D3A"/>
          <w:sz w:val="24"/>
          <w:szCs w:val="24"/>
        </w:rPr>
        <w:t>isabilities (WDES</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 xml:space="preserve">4a-4d) </w:t>
      </w:r>
      <w:r>
        <w:rPr>
          <w:rFonts w:ascii="Arimo" w:eastAsia="Arimo" w:hAnsi="Arimo" w:cs="Arimo"/>
          <w:color w:val="000000"/>
          <w:sz w:val="24"/>
          <w:szCs w:val="24"/>
        </w:rPr>
        <w:t xml:space="preserve"> </w:t>
      </w:r>
    </w:p>
    <w:p w:rsidR="005062B0" w:rsidRDefault="007E3C87">
      <w:pPr>
        <w:spacing w:before="120" w:after="120" w:line="336" w:lineRule="auto"/>
      </w:pPr>
      <w:r>
        <w:rPr>
          <w:rFonts w:ascii="Arial Bold" w:eastAsia="Arial Bold" w:hAnsi="Arial Bold" w:cs="Arial Bold"/>
          <w:b/>
          <w:bCs/>
          <w:color w:val="000000"/>
        </w:rPr>
        <w:t xml:space="preserve">Staff experiencing harassment, bullying or abuse from patients, relatives or the public in the last 12 months. </w:t>
      </w:r>
      <w:proofErr w:type="gramStart"/>
      <w:r>
        <w:rPr>
          <w:rFonts w:ascii="Arial Bold" w:eastAsia="Arial Bold" w:hAnsi="Arial Bold" w:cs="Arial Bold"/>
          <w:b/>
          <w:bCs/>
          <w:color w:val="000000"/>
        </w:rPr>
        <w:t>( WDES</w:t>
      </w:r>
      <w:proofErr w:type="gramEnd"/>
      <w:r>
        <w:rPr>
          <w:rFonts w:ascii="Arial Bold" w:eastAsia="Arial Bold" w:hAnsi="Arial Bold" w:cs="Arial Bold"/>
          <w:b/>
          <w:bCs/>
          <w:color w:val="000000"/>
        </w:rPr>
        <w:t xml:space="preserve"> 4a)</w:t>
      </w:r>
      <w:r>
        <w:rPr>
          <w:rFonts w:ascii="Arimo" w:eastAsia="Arimo" w:hAnsi="Arimo" w:cs="Arimo"/>
          <w:color w:val="000000"/>
          <w:sz w:val="24"/>
          <w:szCs w:val="24"/>
        </w:rPr>
        <w:t xml:space="preserve"> </w:t>
      </w:r>
    </w:p>
    <w:p w:rsidR="005062B0" w:rsidRDefault="007E3C87">
      <w:p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 xml:space="preserve">The 2024 staff </w:t>
      </w:r>
      <w:r>
        <w:rPr>
          <w:rFonts w:ascii="Arial" w:eastAsia="Arial" w:hAnsi="Arial" w:cs="Arial"/>
          <w:color w:val="000000"/>
          <w:sz w:val="24"/>
          <w:szCs w:val="24"/>
        </w:rPr>
        <w:t>survey results indicate that disabled staff consistently report higher levels of harassment, bullying or abuse from patients, relatives or the public compared to their non-disabled colleagues.</w:t>
      </w:r>
    </w:p>
    <w:p w:rsidR="005062B0" w:rsidRDefault="007E3C87">
      <w:p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For disabled staff, there was a positive downward trend between</w:t>
      </w:r>
      <w:r>
        <w:rPr>
          <w:rFonts w:ascii="Arial" w:eastAsia="Arial" w:hAnsi="Arial" w:cs="Arial"/>
          <w:color w:val="000000"/>
          <w:sz w:val="24"/>
          <w:szCs w:val="24"/>
        </w:rPr>
        <w:t xml:space="preserve"> 2021 and 2023 (from 33.7% to 30.6%), but this progress reversed in 2024 with a rise to 32.7%. This is above the national average of 26.6%. A more exaggerated increase however was seen for non-disabled staff. </w:t>
      </w:r>
    </w:p>
    <w:p w:rsidR="005062B0" w:rsidRDefault="007E3C87">
      <w:pPr>
        <w:spacing w:before="120" w:after="120"/>
        <w:jc w:val="center"/>
      </w:pPr>
      <w:r>
        <w:rPr>
          <w:noProof/>
        </w:rPr>
        <w:drawing>
          <wp:anchor distT="0" distB="0" distL="114300" distR="114300" simplePos="0" relativeHeight="251658240" behindDoc="1" locked="0" layoutInCell="1" allowOverlap="1">
            <wp:simplePos x="0" y="0"/>
            <wp:positionH relativeFrom="column">
              <wp:posOffset>895350</wp:posOffset>
            </wp:positionH>
            <wp:positionV relativeFrom="paragraph">
              <wp:posOffset>2371725</wp:posOffset>
            </wp:positionV>
            <wp:extent cx="3943221" cy="2370298"/>
            <wp:effectExtent l="0" t="0" r="635" b="0"/>
            <wp:wrapTight wrapText="bothSides">
              <wp:wrapPolygon edited="0">
                <wp:start x="0" y="0"/>
                <wp:lineTo x="0" y="21357"/>
                <wp:lineTo x="21499" y="21357"/>
                <wp:lineTo x="21499" y="0"/>
                <wp:lineTo x="0" y="0"/>
              </wp:wrapPolygon>
            </wp:wrapTight>
            <wp:docPr id="8" name="Drawing 20" descr="18f50defabe63708647db6e6aad7ed3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3943221" cy="2370298"/>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7E3C87" w:rsidRDefault="007E3C87">
      <w:pPr>
        <w:spacing w:before="120" w:after="120"/>
        <w:rPr>
          <w:rFonts w:ascii="Arial Bold" w:eastAsia="Arial Bold" w:hAnsi="Arial Bold" w:cs="Arial Bold"/>
          <w:b/>
          <w:bCs/>
          <w:color w:val="000000"/>
        </w:rPr>
      </w:pPr>
    </w:p>
    <w:p w:rsidR="007E3C87" w:rsidRDefault="007E3C87">
      <w:pPr>
        <w:spacing w:before="120" w:after="120"/>
        <w:rPr>
          <w:rFonts w:ascii="Arial Bold" w:eastAsia="Arial Bold" w:hAnsi="Arial Bold" w:cs="Arial Bold"/>
          <w:b/>
          <w:bCs/>
          <w:color w:val="000000"/>
        </w:rPr>
      </w:pPr>
    </w:p>
    <w:p w:rsidR="007E3C87" w:rsidRDefault="007E3C87">
      <w:pPr>
        <w:spacing w:before="120" w:after="120"/>
        <w:rPr>
          <w:rFonts w:ascii="Arial Bold" w:eastAsia="Arial Bold" w:hAnsi="Arial Bold" w:cs="Arial Bold"/>
          <w:b/>
          <w:bCs/>
          <w:color w:val="000000"/>
        </w:rPr>
      </w:pPr>
    </w:p>
    <w:p w:rsidR="007E3C87" w:rsidRDefault="007E3C87">
      <w:pPr>
        <w:spacing w:before="120" w:after="120"/>
        <w:rPr>
          <w:rFonts w:ascii="Arial Bold" w:eastAsia="Arial Bold" w:hAnsi="Arial Bold" w:cs="Arial Bold"/>
          <w:b/>
          <w:bCs/>
          <w:color w:val="000000"/>
        </w:rPr>
      </w:pPr>
    </w:p>
    <w:p w:rsidR="005062B0" w:rsidRDefault="007E3C87">
      <w:pPr>
        <w:spacing w:before="120" w:after="120"/>
      </w:pPr>
      <w:r>
        <w:rPr>
          <w:rFonts w:ascii="Arial Bold" w:eastAsia="Arial Bold" w:hAnsi="Arial Bold" w:cs="Arial Bold"/>
          <w:b/>
          <w:bCs/>
          <w:color w:val="000000"/>
        </w:rPr>
        <w:lastRenderedPageBreak/>
        <w:t xml:space="preserve">Staff with </w:t>
      </w:r>
      <w:bookmarkStart w:id="0" w:name="_GoBack"/>
      <w:bookmarkEnd w:id="0"/>
      <w:r>
        <w:rPr>
          <w:rFonts w:ascii="Arial Bold" w:eastAsia="Arial Bold" w:hAnsi="Arial Bold" w:cs="Arial Bold"/>
          <w:b/>
          <w:bCs/>
          <w:color w:val="000000"/>
        </w:rPr>
        <w:t>d</w:t>
      </w:r>
      <w:r>
        <w:rPr>
          <w:rFonts w:ascii="Arial Bold" w:eastAsia="Arial Bold" w:hAnsi="Arial Bold" w:cs="Arial Bold"/>
          <w:b/>
          <w:bCs/>
          <w:color w:val="000000"/>
        </w:rPr>
        <w:t>isabilities experiencing harassm</w:t>
      </w:r>
      <w:r>
        <w:rPr>
          <w:rFonts w:ascii="Arial Bold" w:eastAsia="Arial Bold" w:hAnsi="Arial Bold" w:cs="Arial Bold"/>
          <w:b/>
          <w:bCs/>
          <w:color w:val="000000"/>
        </w:rPr>
        <w:t>ent, bullying or abuse from Managers (WDES 4b)</w:t>
      </w:r>
      <w:r>
        <w:rPr>
          <w:rFonts w:ascii="Arimo" w:eastAsia="Arimo" w:hAnsi="Arimo" w:cs="Arimo"/>
          <w:color w:val="000000"/>
          <w:sz w:val="24"/>
          <w:szCs w:val="24"/>
        </w:rPr>
        <w:t xml:space="preserve"> </w:t>
      </w:r>
    </w:p>
    <w:p w:rsidR="005062B0" w:rsidRDefault="007E3C87">
      <w:p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In the 2024 staff survey, the data shows that 11.04% of disabled staff reported incidents of harassment, bullying, and abuse from managers. This represents a notable decline from the previous year’s peak of 1</w:t>
      </w:r>
      <w:r>
        <w:rPr>
          <w:rFonts w:ascii="Arial" w:eastAsia="Arial" w:hAnsi="Arial" w:cs="Arial"/>
          <w:color w:val="000000"/>
          <w:sz w:val="24"/>
          <w:szCs w:val="24"/>
        </w:rPr>
        <w:t>3.30%. While this reduction is encouraging and below the national average of 11.4%, the rate remains significantly higher than that for non-disabled staff, who reported incidents at 6.96%.</w:t>
      </w:r>
    </w:p>
    <w:p w:rsidR="005062B0" w:rsidRDefault="007E3C87">
      <w:p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This disparity highlights an ongoing challenge in fostering an incl</w:t>
      </w:r>
      <w:r>
        <w:rPr>
          <w:rFonts w:ascii="Arial" w:eastAsia="Arial" w:hAnsi="Arial" w:cs="Arial"/>
          <w:color w:val="000000"/>
          <w:sz w:val="24"/>
          <w:szCs w:val="24"/>
        </w:rPr>
        <w:t xml:space="preserve">usive and psychologically safe workplace for disabled colleagues. The data suggests that while some progress may have been made, the lived experiences of disabled staff continue to reflect disproportionate exposure to negative experiences. </w:t>
      </w:r>
    </w:p>
    <w:p w:rsidR="005062B0" w:rsidRDefault="007E3C87">
      <w:pPr>
        <w:spacing w:before="120" w:after="120"/>
        <w:jc w:val="center"/>
      </w:pPr>
      <w:r>
        <w:rPr>
          <w:noProof/>
        </w:rPr>
        <w:drawing>
          <wp:inline distT="0" distB="0" distL="0" distR="0">
            <wp:extent cx="3804178" cy="2289017"/>
            <wp:effectExtent l="0" t="0" r="5822" b="0"/>
            <wp:docPr id="9" name="Drawing 21" descr="b20126d80d411f799cc97c8ca77b641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804178" cy="2289017"/>
                    </a:xfrm>
                    <a:prstGeom prst="rect">
                      <a:avLst/>
                    </a:prstGeom>
                    <a:noFill/>
                    <a:ln>
                      <a:noFill/>
                      <a:prstDash/>
                    </a:ln>
                  </pic:spPr>
                </pic:pic>
              </a:graphicData>
            </a:graphic>
          </wp:inline>
        </w:drawing>
      </w:r>
    </w:p>
    <w:p w:rsidR="005062B0" w:rsidRDefault="007E3C87">
      <w:pPr>
        <w:spacing w:before="120" w:after="120" w:line="336" w:lineRule="auto"/>
      </w:pPr>
      <w:r>
        <w:rPr>
          <w:rFonts w:ascii="Arial Bold" w:eastAsia="Arial Bold" w:hAnsi="Arial Bold" w:cs="Arial Bold"/>
          <w:b/>
          <w:bCs/>
          <w:color w:val="000000"/>
        </w:rPr>
        <w:t xml:space="preserve"> </w:t>
      </w:r>
    </w:p>
    <w:p w:rsidR="005062B0" w:rsidRDefault="007E3C87">
      <w:pPr>
        <w:spacing w:before="120" w:after="120" w:line="336" w:lineRule="auto"/>
      </w:pPr>
      <w:r>
        <w:rPr>
          <w:rFonts w:ascii="Arial Bold" w:eastAsia="Arial Bold" w:hAnsi="Arial Bold" w:cs="Arial Bold"/>
          <w:b/>
          <w:bCs/>
          <w:color w:val="000000"/>
        </w:rPr>
        <w:t>Staff exper</w:t>
      </w:r>
      <w:r>
        <w:rPr>
          <w:rFonts w:ascii="Arial Bold" w:eastAsia="Arial Bold" w:hAnsi="Arial Bold" w:cs="Arial Bold"/>
          <w:b/>
          <w:bCs/>
          <w:color w:val="000000"/>
        </w:rPr>
        <w:t>iencing harassment, bullying or abuse from other Colleagues (WDES 4c)</w:t>
      </w:r>
      <w:r>
        <w:rPr>
          <w:rFonts w:ascii="Arimo" w:eastAsia="Arimo" w:hAnsi="Arimo" w:cs="Arimo"/>
          <w:color w:val="000000"/>
          <w:sz w:val="24"/>
          <w:szCs w:val="24"/>
        </w:rPr>
        <w:t xml:space="preserve"> </w:t>
      </w:r>
    </w:p>
    <w:p w:rsidR="005062B0" w:rsidRDefault="007E3C87">
      <w:p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Disabled staff consistently report higher rates of harassment, bullying, or abuse from colleagues compared to their non-disabled peers.  In the 2024 staff survey, 18.80% of disabled sta</w:t>
      </w:r>
      <w:r>
        <w:rPr>
          <w:rFonts w:ascii="Arial" w:eastAsia="Arial" w:hAnsi="Arial" w:cs="Arial"/>
          <w:color w:val="000000"/>
          <w:sz w:val="24"/>
          <w:szCs w:val="24"/>
        </w:rPr>
        <w:t>ff reported such incidents, compared to 12.20% of non-disabled staff, a gap of 6.6 percentage points, and 17.9% national average for disabled staff.</w:t>
      </w:r>
    </w:p>
    <w:p w:rsidR="005062B0" w:rsidRDefault="007E3C87">
      <w:p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The rate for disabled staff peaked in 2023 at 19.50%, suggesting a worsening trend before a slight improvem</w:t>
      </w:r>
      <w:r>
        <w:rPr>
          <w:rFonts w:ascii="Arial" w:eastAsia="Arial" w:hAnsi="Arial" w:cs="Arial"/>
          <w:color w:val="000000"/>
          <w:sz w:val="24"/>
          <w:szCs w:val="24"/>
        </w:rPr>
        <w:t>ent in 2024. A similar improvement was seen for non-disabled staff.</w:t>
      </w:r>
    </w:p>
    <w:p w:rsidR="005062B0" w:rsidRDefault="007E3C87">
      <w:pPr>
        <w:spacing w:before="120" w:after="120"/>
        <w:jc w:val="center"/>
      </w:pPr>
      <w:r>
        <w:rPr>
          <w:noProof/>
        </w:rPr>
        <w:lastRenderedPageBreak/>
        <w:drawing>
          <wp:inline distT="0" distB="0" distL="0" distR="0">
            <wp:extent cx="3752853" cy="2255641"/>
            <wp:effectExtent l="0" t="0" r="0" b="0"/>
            <wp:docPr id="10" name="Drawing 22" descr="45b2a8d5166a5270a7fb8fb2e42f417c.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752853" cy="2255641"/>
                    </a:xfrm>
                    <a:prstGeom prst="rect">
                      <a:avLst/>
                    </a:prstGeom>
                    <a:noFill/>
                    <a:ln>
                      <a:noFill/>
                      <a:prstDash/>
                    </a:ln>
                  </pic:spPr>
                </pic:pic>
              </a:graphicData>
            </a:graphic>
          </wp:inline>
        </w:drawing>
      </w:r>
    </w:p>
    <w:p w:rsidR="005062B0" w:rsidRDefault="005062B0">
      <w:pPr>
        <w:spacing w:before="120" w:after="120" w:line="276" w:lineRule="auto"/>
        <w:rPr>
          <w:rFonts w:ascii="Arial Bold" w:eastAsia="Arial Bold" w:hAnsi="Arial Bold" w:cs="Arial Bold"/>
          <w:b/>
          <w:bCs/>
          <w:color w:val="000000"/>
        </w:rPr>
      </w:pPr>
    </w:p>
    <w:p w:rsidR="005062B0" w:rsidRDefault="007E3C87">
      <w:pPr>
        <w:spacing w:before="120" w:after="120" w:line="276" w:lineRule="auto"/>
      </w:pPr>
      <w:r>
        <w:rPr>
          <w:rFonts w:ascii="Arial Bold" w:eastAsia="Arial Bold" w:hAnsi="Arial Bold" w:cs="Arial Bold"/>
          <w:b/>
          <w:bCs/>
          <w:color w:val="000000"/>
        </w:rPr>
        <w:t>Percentage of staff saying that, the last time they experienced bullying or harassment at work, they or a colleague reported it (WDES 4d)</w:t>
      </w:r>
      <w:r>
        <w:rPr>
          <w:rFonts w:ascii="Arimo" w:eastAsia="Arimo" w:hAnsi="Arimo" w:cs="Arimo"/>
          <w:color w:val="000000"/>
          <w:sz w:val="24"/>
          <w:szCs w:val="24"/>
        </w:rPr>
        <w:t xml:space="preserve"> </w:t>
      </w:r>
    </w:p>
    <w:p w:rsidR="005062B0" w:rsidRDefault="007E3C87">
      <w:pPr>
        <w:spacing w:before="120" w:after="120" w:line="336" w:lineRule="auto"/>
        <w:rPr>
          <w:rFonts w:ascii="Arial" w:eastAsia="Arial" w:hAnsi="Arial" w:cs="Arial"/>
          <w:color w:val="000000"/>
          <w:sz w:val="24"/>
          <w:szCs w:val="24"/>
        </w:rPr>
      </w:pPr>
      <w:r>
        <w:rPr>
          <w:rFonts w:ascii="Arial" w:eastAsia="Arial" w:hAnsi="Arial" w:cs="Arial"/>
          <w:color w:val="000000"/>
          <w:sz w:val="24"/>
          <w:szCs w:val="24"/>
        </w:rPr>
        <w:t xml:space="preserve">In 2024, 66.20% of disabled staff who </w:t>
      </w:r>
      <w:r>
        <w:rPr>
          <w:rFonts w:ascii="Arial" w:eastAsia="Arial" w:hAnsi="Arial" w:cs="Arial"/>
          <w:color w:val="000000"/>
          <w:sz w:val="24"/>
          <w:szCs w:val="24"/>
        </w:rPr>
        <w:t>experienced bullying or harassment reported it (either themselves or via a colleague). This is slightly lower than the reporting rate for non-disabled staff of 67.5%, but does reflect a 5.5 percentage point increase for disabled staff compared to 2023. Thi</w:t>
      </w:r>
      <w:r>
        <w:rPr>
          <w:rFonts w:ascii="Arial" w:eastAsia="Arial" w:hAnsi="Arial" w:cs="Arial"/>
          <w:color w:val="000000"/>
          <w:sz w:val="24"/>
          <w:szCs w:val="24"/>
        </w:rPr>
        <w:t xml:space="preserve">s is a greater increase than was seen for non-disabled staff, suggesting a positive shift in confidence or accessibility of reporting mechanisms amongst staff with disabilities. </w:t>
      </w:r>
    </w:p>
    <w:p w:rsidR="005062B0" w:rsidRDefault="007E3C87">
      <w:pPr>
        <w:spacing w:before="120" w:after="120"/>
        <w:jc w:val="center"/>
      </w:pPr>
      <w:r>
        <w:rPr>
          <w:noProof/>
        </w:rPr>
        <w:drawing>
          <wp:inline distT="0" distB="0" distL="0" distR="0">
            <wp:extent cx="3570988" cy="2146051"/>
            <wp:effectExtent l="0" t="0" r="0" b="6599"/>
            <wp:docPr id="11" name="Drawing 23" descr="bcde3d20582c0ba409ce07fb311998f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570988" cy="2146051"/>
                    </a:xfrm>
                    <a:prstGeom prst="rect">
                      <a:avLst/>
                    </a:prstGeom>
                    <a:noFill/>
                    <a:ln>
                      <a:noFill/>
                      <a:prstDash/>
                    </a:ln>
                  </pic:spPr>
                </pic:pic>
              </a:graphicData>
            </a:graphic>
          </wp:inline>
        </w:drawing>
      </w:r>
    </w:p>
    <w:p w:rsidR="005062B0" w:rsidRDefault="007E3C87">
      <w:pPr>
        <w:spacing w:before="120" w:after="120" w:line="336" w:lineRule="auto"/>
      </w:pPr>
      <w:r>
        <w:rPr>
          <w:rFonts w:ascii="Arial Bold" w:eastAsia="Arial Bold" w:hAnsi="Arial Bold" w:cs="Arial Bold"/>
          <w:b/>
          <w:bCs/>
          <w:color w:val="272D3A"/>
          <w:sz w:val="23"/>
          <w:szCs w:val="23"/>
        </w:rPr>
        <w:t>Disability</w:t>
      </w:r>
      <w:r>
        <w:rPr>
          <w:rFonts w:ascii="Arial Bold" w:eastAsia="Arial Bold" w:hAnsi="Arial Bold" w:cs="Arial Bold"/>
          <w:b/>
          <w:bCs/>
          <w:color w:val="272D3A"/>
          <w:spacing w:val="-4"/>
          <w:sz w:val="23"/>
          <w:szCs w:val="23"/>
        </w:rPr>
        <w:t xml:space="preserve"> </w:t>
      </w:r>
      <w:r>
        <w:rPr>
          <w:rFonts w:ascii="Arial Bold" w:eastAsia="Arial Bold" w:hAnsi="Arial Bold" w:cs="Arial Bold"/>
          <w:b/>
          <w:bCs/>
          <w:color w:val="272D3A"/>
          <w:sz w:val="23"/>
          <w:szCs w:val="23"/>
        </w:rPr>
        <w:t>equal</w:t>
      </w:r>
      <w:r>
        <w:rPr>
          <w:rFonts w:ascii="Arial Bold" w:eastAsia="Arial Bold" w:hAnsi="Arial Bold" w:cs="Arial Bold"/>
          <w:b/>
          <w:bCs/>
          <w:color w:val="272D3A"/>
          <w:spacing w:val="-2"/>
          <w:sz w:val="23"/>
          <w:szCs w:val="23"/>
        </w:rPr>
        <w:t xml:space="preserve"> </w:t>
      </w:r>
      <w:r>
        <w:rPr>
          <w:rFonts w:ascii="Arial Bold" w:eastAsia="Arial Bold" w:hAnsi="Arial Bold" w:cs="Arial Bold"/>
          <w:b/>
          <w:bCs/>
          <w:color w:val="272D3A"/>
          <w:sz w:val="23"/>
          <w:szCs w:val="23"/>
        </w:rPr>
        <w:t>opportunities</w:t>
      </w:r>
      <w:r>
        <w:rPr>
          <w:rFonts w:ascii="Arial Bold" w:eastAsia="Arial Bold" w:hAnsi="Arial Bold" w:cs="Arial Bold"/>
          <w:b/>
          <w:bCs/>
          <w:color w:val="272D3A"/>
          <w:spacing w:val="-4"/>
          <w:sz w:val="23"/>
          <w:szCs w:val="23"/>
        </w:rPr>
        <w:t xml:space="preserve"> </w:t>
      </w:r>
      <w:r>
        <w:rPr>
          <w:rFonts w:ascii="Arial Bold" w:eastAsia="Arial Bold" w:hAnsi="Arial Bold" w:cs="Arial Bold"/>
          <w:b/>
          <w:bCs/>
          <w:color w:val="272D3A"/>
          <w:sz w:val="23"/>
          <w:szCs w:val="23"/>
        </w:rPr>
        <w:t>for</w:t>
      </w:r>
      <w:r>
        <w:rPr>
          <w:rFonts w:ascii="Arial Bold" w:eastAsia="Arial Bold" w:hAnsi="Arial Bold" w:cs="Arial Bold"/>
          <w:b/>
          <w:bCs/>
          <w:color w:val="272D3A"/>
          <w:spacing w:val="-2"/>
          <w:sz w:val="23"/>
          <w:szCs w:val="23"/>
        </w:rPr>
        <w:t xml:space="preserve"> </w:t>
      </w:r>
      <w:r>
        <w:rPr>
          <w:rFonts w:ascii="Arial Bold" w:eastAsia="Arial Bold" w:hAnsi="Arial Bold" w:cs="Arial Bold"/>
          <w:b/>
          <w:bCs/>
          <w:color w:val="272D3A"/>
          <w:sz w:val="23"/>
          <w:szCs w:val="23"/>
        </w:rPr>
        <w:t>promotion (WDES</w:t>
      </w:r>
      <w:r>
        <w:rPr>
          <w:rFonts w:ascii="Arial Bold" w:eastAsia="Arial Bold" w:hAnsi="Arial Bold" w:cs="Arial Bold"/>
          <w:b/>
          <w:bCs/>
          <w:color w:val="272D3A"/>
          <w:spacing w:val="-3"/>
          <w:sz w:val="23"/>
          <w:szCs w:val="23"/>
        </w:rPr>
        <w:t xml:space="preserve"> </w:t>
      </w:r>
      <w:r>
        <w:rPr>
          <w:rFonts w:ascii="Arial Bold" w:eastAsia="Arial Bold" w:hAnsi="Arial Bold" w:cs="Arial Bold"/>
          <w:b/>
          <w:bCs/>
          <w:color w:val="272D3A"/>
          <w:sz w:val="23"/>
          <w:szCs w:val="23"/>
        </w:rPr>
        <w:t>5)</w:t>
      </w:r>
      <w:r>
        <w:rPr>
          <w:rFonts w:ascii="Arial" w:eastAsia="Arial" w:hAnsi="Arial" w:cs="Arial"/>
          <w:color w:val="974705"/>
          <w:sz w:val="23"/>
          <w:szCs w:val="23"/>
        </w:rPr>
        <w:t xml:space="preserve"> </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In 2024, only </w:t>
      </w:r>
      <w:r>
        <w:rPr>
          <w:rFonts w:ascii="Arial" w:eastAsia="Arial" w:hAnsi="Arial" w:cs="Arial"/>
          <w:color w:val="000000"/>
          <w:sz w:val="24"/>
          <w:szCs w:val="24"/>
        </w:rPr>
        <w:t>53.20% of disabled staff believed the Trust provides equal opportunities for career progression or promotion.</w:t>
      </w:r>
      <w:r>
        <w:rPr>
          <w:rFonts w:ascii="Arimo" w:eastAsia="Arimo" w:hAnsi="Arimo" w:cs="Arimo"/>
          <w:color w:val="000000"/>
          <w:sz w:val="24"/>
          <w:szCs w:val="24"/>
        </w:rPr>
        <w:t xml:space="preserve"> </w:t>
      </w:r>
      <w:r>
        <w:rPr>
          <w:rFonts w:ascii="Arial" w:eastAsia="Arial" w:hAnsi="Arial" w:cs="Arial"/>
          <w:color w:val="000000"/>
          <w:sz w:val="24"/>
          <w:szCs w:val="24"/>
        </w:rPr>
        <w:t>This compares to 58.00% of non-disabled staff, revealing a 4.8 percentage point gap in perception.</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The belief among disabled staff has declined s</w:t>
      </w:r>
      <w:r>
        <w:rPr>
          <w:rFonts w:ascii="Arial" w:eastAsia="Arial" w:hAnsi="Arial" w:cs="Arial"/>
          <w:color w:val="000000"/>
          <w:sz w:val="24"/>
          <w:szCs w:val="24"/>
        </w:rPr>
        <w:t>teadily since 2022, dropping by 6.3 percentage points over two years.</w:t>
      </w:r>
      <w:r>
        <w:rPr>
          <w:rFonts w:ascii="Arimo" w:eastAsia="Arimo" w:hAnsi="Arimo" w:cs="Arimo"/>
          <w:color w:val="000000"/>
          <w:sz w:val="24"/>
          <w:szCs w:val="24"/>
        </w:rPr>
        <w:t xml:space="preserve"> </w:t>
      </w:r>
      <w:r>
        <w:rPr>
          <w:rFonts w:ascii="Arial" w:eastAsia="Arial" w:hAnsi="Arial" w:cs="Arial"/>
          <w:color w:val="000000"/>
          <w:sz w:val="24"/>
          <w:szCs w:val="24"/>
        </w:rPr>
        <w:t>Non-disabled staff perceptions have also declined, though less sharply, falling by 2.3 percentage points since 2022.</w:t>
      </w:r>
      <w:r>
        <w:rPr>
          <w:rFonts w:ascii="Arimo" w:eastAsia="Arimo" w:hAnsi="Arimo" w:cs="Arimo"/>
          <w:color w:val="000000"/>
          <w:sz w:val="24"/>
          <w:szCs w:val="24"/>
        </w:rPr>
        <w:t xml:space="preserve"> </w:t>
      </w:r>
    </w:p>
    <w:p w:rsidR="005062B0" w:rsidRDefault="007E3C87">
      <w:pPr>
        <w:spacing w:before="120" w:after="120"/>
        <w:jc w:val="center"/>
      </w:pPr>
      <w:r>
        <w:rPr>
          <w:noProof/>
        </w:rPr>
        <w:lastRenderedPageBreak/>
        <w:drawing>
          <wp:inline distT="0" distB="0" distL="0" distR="0">
            <wp:extent cx="3676866" cy="2210397"/>
            <wp:effectExtent l="0" t="0" r="0" b="0"/>
            <wp:docPr id="12" name="Drawing 24" descr="4d499e124bae73068eac9c3e052c4fc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676866" cy="2210397"/>
                    </a:xfrm>
                    <a:prstGeom prst="rect">
                      <a:avLst/>
                    </a:prstGeom>
                    <a:noFill/>
                    <a:ln>
                      <a:noFill/>
                      <a:prstDash/>
                    </a:ln>
                  </pic:spPr>
                </pic:pic>
              </a:graphicData>
            </a:graphic>
          </wp:inline>
        </w:drawing>
      </w:r>
    </w:p>
    <w:p w:rsidR="005062B0" w:rsidRDefault="007E3C87">
      <w:pPr>
        <w:spacing w:before="120" w:after="120" w:line="336" w:lineRule="auto"/>
      </w:pPr>
      <w:r>
        <w:rPr>
          <w:rFonts w:ascii="Arial Bold" w:eastAsia="Arial Bold" w:hAnsi="Arial Bold" w:cs="Arial Bold"/>
          <w:b/>
          <w:bCs/>
          <w:color w:val="272D3A"/>
          <w:sz w:val="24"/>
          <w:szCs w:val="24"/>
        </w:rPr>
        <w:t>Pressure</w:t>
      </w:r>
      <w:r>
        <w:rPr>
          <w:rFonts w:ascii="Arial Bold" w:eastAsia="Arial Bold" w:hAnsi="Arial Bold" w:cs="Arial Bold"/>
          <w:b/>
          <w:bCs/>
          <w:color w:val="272D3A"/>
          <w:spacing w:val="-3"/>
          <w:sz w:val="24"/>
          <w:szCs w:val="24"/>
        </w:rPr>
        <w:t xml:space="preserve"> </w:t>
      </w:r>
      <w:r>
        <w:rPr>
          <w:rFonts w:ascii="Arial Bold" w:eastAsia="Arial Bold" w:hAnsi="Arial Bold" w:cs="Arial Bold"/>
          <w:b/>
          <w:bCs/>
          <w:color w:val="272D3A"/>
          <w:sz w:val="24"/>
          <w:szCs w:val="24"/>
        </w:rPr>
        <w:t>to</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work</w:t>
      </w:r>
      <w:r>
        <w:rPr>
          <w:rFonts w:ascii="Arial Bold" w:eastAsia="Arial Bold" w:hAnsi="Arial Bold" w:cs="Arial Bold"/>
          <w:b/>
          <w:bCs/>
          <w:color w:val="272D3A"/>
          <w:spacing w:val="-4"/>
          <w:sz w:val="24"/>
          <w:szCs w:val="24"/>
        </w:rPr>
        <w:t xml:space="preserve"> </w:t>
      </w:r>
      <w:r>
        <w:rPr>
          <w:rFonts w:ascii="Arial Bold" w:eastAsia="Arial Bold" w:hAnsi="Arial Bold" w:cs="Arial Bold"/>
          <w:b/>
          <w:bCs/>
          <w:color w:val="272D3A"/>
          <w:sz w:val="24"/>
          <w:szCs w:val="24"/>
        </w:rPr>
        <w:t>when</w:t>
      </w:r>
      <w:r>
        <w:rPr>
          <w:rFonts w:ascii="Arial Bold" w:eastAsia="Arial Bold" w:hAnsi="Arial Bold" w:cs="Arial Bold"/>
          <w:b/>
          <w:bCs/>
          <w:color w:val="272D3A"/>
          <w:spacing w:val="-5"/>
          <w:sz w:val="24"/>
          <w:szCs w:val="24"/>
        </w:rPr>
        <w:t xml:space="preserve"> </w:t>
      </w:r>
      <w:r>
        <w:rPr>
          <w:rFonts w:ascii="Arial Bold" w:eastAsia="Arial Bold" w:hAnsi="Arial Bold" w:cs="Arial Bold"/>
          <w:b/>
          <w:bCs/>
          <w:color w:val="272D3A"/>
          <w:sz w:val="24"/>
          <w:szCs w:val="24"/>
        </w:rPr>
        <w:t>unwell</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by</w:t>
      </w:r>
      <w:r>
        <w:rPr>
          <w:rFonts w:ascii="Arial Bold" w:eastAsia="Arial Bold" w:hAnsi="Arial Bold" w:cs="Arial Bold"/>
          <w:b/>
          <w:bCs/>
          <w:color w:val="272D3A"/>
          <w:spacing w:val="-4"/>
          <w:sz w:val="24"/>
          <w:szCs w:val="24"/>
        </w:rPr>
        <w:t xml:space="preserve"> </w:t>
      </w:r>
      <w:r>
        <w:rPr>
          <w:rFonts w:ascii="Arial Bold" w:eastAsia="Arial Bold" w:hAnsi="Arial Bold" w:cs="Arial Bold"/>
          <w:b/>
          <w:bCs/>
          <w:color w:val="272D3A"/>
          <w:sz w:val="24"/>
          <w:szCs w:val="24"/>
        </w:rPr>
        <w:t>disability (WDES</w:t>
      </w:r>
      <w:r>
        <w:rPr>
          <w:rFonts w:ascii="Arial Bold" w:eastAsia="Arial Bold" w:hAnsi="Arial Bold" w:cs="Arial Bold"/>
          <w:b/>
          <w:bCs/>
          <w:color w:val="272D3A"/>
          <w:spacing w:val="-1"/>
          <w:sz w:val="24"/>
          <w:szCs w:val="24"/>
        </w:rPr>
        <w:t xml:space="preserve"> </w:t>
      </w:r>
      <w:r>
        <w:rPr>
          <w:rFonts w:ascii="Arial Bold" w:eastAsia="Arial Bold" w:hAnsi="Arial Bold" w:cs="Arial Bold"/>
          <w:b/>
          <w:bCs/>
          <w:color w:val="272D3A"/>
          <w:sz w:val="24"/>
          <w:szCs w:val="24"/>
        </w:rPr>
        <w:t>6)</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In 2024, </w:t>
      </w:r>
      <w:r>
        <w:rPr>
          <w:rFonts w:ascii="Arial" w:eastAsia="Arial" w:hAnsi="Arial" w:cs="Arial"/>
          <w:color w:val="000000"/>
          <w:sz w:val="24"/>
          <w:szCs w:val="24"/>
        </w:rPr>
        <w:t>19.20% of disabled staff reported feeling pressured by their manager to attend work despite not feeling well enough to perform their duties. This compares to 10.70% of non-disabled staff, revealing an 8.5 percentage point disparity.</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 xml:space="preserve">Disabled staff have </w:t>
      </w:r>
      <w:r>
        <w:rPr>
          <w:rFonts w:ascii="Arial" w:eastAsia="Arial" w:hAnsi="Arial" w:cs="Arial"/>
          <w:color w:val="000000"/>
          <w:sz w:val="24"/>
          <w:szCs w:val="24"/>
        </w:rPr>
        <w:t>consistently reported higher levels of pressure over the last four years, with rates nearly double those of non-disabled staff in 2024.</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While pressure on non-disabled staff has steadily declined since 2021, the rate among disabled staff has remained relat</w:t>
      </w:r>
      <w:r>
        <w:rPr>
          <w:rFonts w:ascii="Arial" w:eastAsia="Arial" w:hAnsi="Arial" w:cs="Arial"/>
          <w:color w:val="000000"/>
          <w:sz w:val="24"/>
          <w:szCs w:val="24"/>
        </w:rPr>
        <w:t>ively static, showing only a modest improvement from the 2021 peak of 23.80%.</w:t>
      </w:r>
      <w:r>
        <w:rPr>
          <w:rFonts w:ascii="Arimo" w:eastAsia="Arimo" w:hAnsi="Arimo" w:cs="Arimo"/>
          <w:color w:val="000000"/>
          <w:sz w:val="24"/>
          <w:szCs w:val="24"/>
        </w:rPr>
        <w:t xml:space="preserve"> </w:t>
      </w:r>
    </w:p>
    <w:p w:rsidR="005062B0" w:rsidRDefault="007E3C87">
      <w:pPr>
        <w:spacing w:before="120" w:after="120"/>
        <w:jc w:val="center"/>
      </w:pPr>
      <w:r>
        <w:rPr>
          <w:noProof/>
        </w:rPr>
        <w:drawing>
          <wp:inline distT="0" distB="0" distL="0" distR="0">
            <wp:extent cx="3678548" cy="2210671"/>
            <wp:effectExtent l="0" t="0" r="0" b="0"/>
            <wp:docPr id="13" name="Drawing 25" descr="7cbdefcf50d7a3143e17ef4903df4b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678548" cy="2210671"/>
                    </a:xfrm>
                    <a:prstGeom prst="rect">
                      <a:avLst/>
                    </a:prstGeom>
                    <a:noFill/>
                    <a:ln>
                      <a:noFill/>
                      <a:prstDash/>
                    </a:ln>
                  </pic:spPr>
                </pic:pic>
              </a:graphicData>
            </a:graphic>
          </wp:inline>
        </w:drawing>
      </w:r>
    </w:p>
    <w:p w:rsidR="005062B0" w:rsidRDefault="007E3C87">
      <w:pPr>
        <w:spacing w:before="120" w:after="120" w:line="336" w:lineRule="auto"/>
      </w:pPr>
      <w:r>
        <w:rPr>
          <w:rFonts w:ascii="Arial Bold" w:eastAsia="Arial Bold" w:hAnsi="Arial Bold" w:cs="Arial Bold"/>
          <w:b/>
          <w:bCs/>
          <w:color w:val="000000"/>
        </w:rPr>
        <w:t>Compared to non-disabled staff saying that they are satisfied with the extent to which their organisation values their work (WDES 7)</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In 2024, only 36.60% of disabled staff at</w:t>
      </w:r>
      <w:r>
        <w:rPr>
          <w:rFonts w:ascii="Arial" w:eastAsia="Arial" w:hAnsi="Arial" w:cs="Arial"/>
          <w:color w:val="000000"/>
          <w:sz w:val="24"/>
          <w:szCs w:val="24"/>
        </w:rPr>
        <w:t xml:space="preserve"> KMMH</w:t>
      </w:r>
      <w:r>
        <w:rPr>
          <w:rFonts w:ascii="Arial" w:eastAsia="Arial" w:hAnsi="Arial" w:cs="Arial"/>
          <w:color w:val="000000"/>
          <w:sz w:val="24"/>
          <w:szCs w:val="24"/>
        </w:rPr>
        <w:t xml:space="preserve"> reported feeling satisfied with the extent to which the organisation values their work. This marks a 4.6 percentage point decline from 2023 and places KMMH</w:t>
      </w:r>
      <w:r>
        <w:rPr>
          <w:rFonts w:ascii="Arial" w:eastAsia="Arial" w:hAnsi="Arial" w:cs="Arial"/>
          <w:color w:val="000000"/>
          <w:sz w:val="24"/>
          <w:szCs w:val="24"/>
        </w:rPr>
        <w:t xml:space="preserve"> below the national average for disabled staff satisfaction, which stands at 44.3%.</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lastRenderedPageBreak/>
        <w:t>In contras</w:t>
      </w:r>
      <w:r>
        <w:rPr>
          <w:rFonts w:ascii="Arial" w:eastAsia="Arial" w:hAnsi="Arial" w:cs="Arial"/>
          <w:color w:val="000000"/>
          <w:sz w:val="24"/>
          <w:szCs w:val="24"/>
        </w:rPr>
        <w:t>t, 52.80% of non-disabled staff reported feeling valued—an increase from 2023 and now 16.2 percentage points higher than their disabled colleagues.</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The satisfaction gap between disabled and non-disabled staff has widened significantly, from 10.3 percentag</w:t>
      </w:r>
      <w:r>
        <w:rPr>
          <w:rFonts w:ascii="Arial" w:eastAsia="Arial" w:hAnsi="Arial" w:cs="Arial"/>
          <w:color w:val="000000"/>
          <w:sz w:val="24"/>
          <w:szCs w:val="24"/>
        </w:rPr>
        <w:t>e points in 2023 to 16.2 percentage points in 2024.</w:t>
      </w:r>
      <w:r>
        <w:rPr>
          <w:rFonts w:ascii="Arimo" w:eastAsia="Arimo" w:hAnsi="Arimo" w:cs="Arimo"/>
          <w:color w:val="000000"/>
          <w:sz w:val="24"/>
          <w:szCs w:val="24"/>
        </w:rPr>
        <w:t xml:space="preserve"> </w:t>
      </w:r>
    </w:p>
    <w:p w:rsidR="005062B0" w:rsidRDefault="007E3C87">
      <w:pPr>
        <w:spacing w:before="120" w:after="120" w:line="336" w:lineRule="auto"/>
      </w:pPr>
      <w:r>
        <w:rPr>
          <w:rFonts w:ascii="Arimo" w:eastAsia="Arimo" w:hAnsi="Arimo" w:cs="Arimo"/>
          <w:color w:val="000000"/>
          <w:sz w:val="24"/>
          <w:szCs w:val="24"/>
        </w:rPr>
        <w:t xml:space="preserve"> </w:t>
      </w:r>
    </w:p>
    <w:p w:rsidR="005062B0" w:rsidRDefault="007E3C87">
      <w:pPr>
        <w:spacing w:before="120" w:after="120"/>
        <w:jc w:val="center"/>
      </w:pPr>
      <w:r>
        <w:rPr>
          <w:noProof/>
        </w:rPr>
        <w:drawing>
          <wp:inline distT="0" distB="0" distL="0" distR="0">
            <wp:extent cx="3608579" cy="2169048"/>
            <wp:effectExtent l="0" t="0" r="0" b="2652"/>
            <wp:docPr id="14" name="Drawing 26" descr="2e5b20c18dde4110b40ec4f50a300e9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608579" cy="2169048"/>
                    </a:xfrm>
                    <a:prstGeom prst="rect">
                      <a:avLst/>
                    </a:prstGeom>
                    <a:noFill/>
                    <a:ln>
                      <a:noFill/>
                      <a:prstDash/>
                    </a:ln>
                  </pic:spPr>
                </pic:pic>
              </a:graphicData>
            </a:graphic>
          </wp:inline>
        </w:drawing>
      </w:r>
    </w:p>
    <w:p w:rsidR="005062B0" w:rsidRDefault="007E3C87">
      <w:pPr>
        <w:spacing w:before="120" w:after="120" w:line="336" w:lineRule="auto"/>
      </w:pPr>
      <w:r>
        <w:rPr>
          <w:rFonts w:ascii="Arial Bold" w:eastAsia="Arial Bold" w:hAnsi="Arial Bold" w:cs="Arial Bold"/>
          <w:b/>
          <w:bCs/>
          <w:color w:val="272D3A"/>
          <w:sz w:val="24"/>
          <w:szCs w:val="24"/>
        </w:rPr>
        <w:t>Adequate</w:t>
      </w:r>
      <w:r>
        <w:rPr>
          <w:rFonts w:ascii="Arial Bold" w:eastAsia="Arial Bold" w:hAnsi="Arial Bold" w:cs="Arial Bold"/>
          <w:b/>
          <w:bCs/>
          <w:color w:val="272D3A"/>
          <w:spacing w:val="-3"/>
          <w:sz w:val="24"/>
          <w:szCs w:val="24"/>
        </w:rPr>
        <w:t xml:space="preserve"> </w:t>
      </w:r>
      <w:r>
        <w:rPr>
          <w:rFonts w:ascii="Arial Bold" w:eastAsia="Arial Bold" w:hAnsi="Arial Bold" w:cs="Arial Bold"/>
          <w:b/>
          <w:bCs/>
          <w:color w:val="272D3A"/>
          <w:sz w:val="24"/>
          <w:szCs w:val="24"/>
        </w:rPr>
        <w:t>adjustments</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for</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disabled</w:t>
      </w:r>
      <w:r>
        <w:rPr>
          <w:rFonts w:ascii="Arial Bold" w:eastAsia="Arial Bold" w:hAnsi="Arial Bold" w:cs="Arial Bold"/>
          <w:b/>
          <w:bCs/>
          <w:color w:val="272D3A"/>
          <w:spacing w:val="-3"/>
          <w:sz w:val="24"/>
          <w:szCs w:val="24"/>
        </w:rPr>
        <w:t xml:space="preserve"> </w:t>
      </w:r>
      <w:r>
        <w:rPr>
          <w:rFonts w:ascii="Arial Bold" w:eastAsia="Arial Bold" w:hAnsi="Arial Bold" w:cs="Arial Bold"/>
          <w:b/>
          <w:bCs/>
          <w:color w:val="272D3A"/>
          <w:sz w:val="24"/>
          <w:szCs w:val="24"/>
        </w:rPr>
        <w:t>people</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(WDES</w:t>
      </w:r>
      <w:r>
        <w:rPr>
          <w:rFonts w:ascii="Arial Bold" w:eastAsia="Arial Bold" w:hAnsi="Arial Bold" w:cs="Arial Bold"/>
          <w:b/>
          <w:bCs/>
          <w:color w:val="272D3A"/>
          <w:spacing w:val="-2"/>
          <w:sz w:val="24"/>
          <w:szCs w:val="24"/>
        </w:rPr>
        <w:t xml:space="preserve"> </w:t>
      </w:r>
      <w:r>
        <w:rPr>
          <w:rFonts w:ascii="Arial Bold" w:eastAsia="Arial Bold" w:hAnsi="Arial Bold" w:cs="Arial Bold"/>
          <w:b/>
          <w:bCs/>
          <w:color w:val="272D3A"/>
          <w:sz w:val="24"/>
          <w:szCs w:val="24"/>
        </w:rPr>
        <w:t>8)</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In 2024, 78.20% of disabled staff reported that KMMH</w:t>
      </w:r>
      <w:r>
        <w:rPr>
          <w:rFonts w:ascii="Arial" w:eastAsia="Arial" w:hAnsi="Arial" w:cs="Arial"/>
          <w:color w:val="000000"/>
          <w:sz w:val="24"/>
          <w:szCs w:val="24"/>
        </w:rPr>
        <w:t xml:space="preserve"> had made adequate adjustments to support them in carrying out their work. This figure reflects </w:t>
      </w:r>
      <w:r>
        <w:rPr>
          <w:rFonts w:ascii="Arial" w:eastAsia="Arial" w:hAnsi="Arial" w:cs="Arial"/>
          <w:color w:val="000000"/>
          <w:sz w:val="24"/>
          <w:szCs w:val="24"/>
        </w:rPr>
        <w:t>a slight decline from the 2023 level of 78.30%, and remains below the 2021 peak of 79.20%.</w:t>
      </w:r>
      <w:r>
        <w:rPr>
          <w:rFonts w:ascii="Arimo" w:eastAsia="Arimo" w:hAnsi="Arimo" w:cs="Arimo"/>
          <w:color w:val="000000"/>
          <w:sz w:val="24"/>
          <w:szCs w:val="24"/>
        </w:rPr>
        <w:t xml:space="preserve"> </w:t>
      </w:r>
    </w:p>
    <w:p w:rsidR="005062B0" w:rsidRDefault="007E3C87">
      <w:pPr>
        <w:spacing w:before="120" w:after="120" w:line="336" w:lineRule="auto"/>
      </w:pPr>
      <w:r>
        <w:rPr>
          <w:rFonts w:ascii="Arial Bold" w:eastAsia="Arial Bold" w:hAnsi="Arial Bold" w:cs="Arial Bold"/>
          <w:b/>
          <w:bCs/>
          <w:color w:val="000000"/>
          <w:sz w:val="24"/>
          <w:szCs w:val="24"/>
        </w:rPr>
        <w:t>The staff engagement score for Disabled staff, compared to non-disabled staff and the overall engagement score for the organisation (out of 10) (WDES 9)</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In 2024, t</w:t>
      </w:r>
      <w:r>
        <w:rPr>
          <w:rFonts w:ascii="Arial" w:eastAsia="Arial" w:hAnsi="Arial" w:cs="Arial"/>
          <w:color w:val="000000"/>
          <w:sz w:val="24"/>
          <w:szCs w:val="24"/>
        </w:rPr>
        <w:t>he engagement score for disabled staff dropped to 6.3 out of 10, down from 6.8 in 2023—a 0.5-point decline, and the lowest score in four years.</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Non-disabled staff reported a score of 6.9, also down from 7.2 in 2023, but the decline was less steep.</w:t>
      </w:r>
      <w:r>
        <w:rPr>
          <w:rFonts w:ascii="Arimo" w:eastAsia="Arimo" w:hAnsi="Arimo" w:cs="Arimo"/>
          <w:color w:val="000000"/>
          <w:sz w:val="24"/>
          <w:szCs w:val="24"/>
        </w:rPr>
        <w:t xml:space="preserve"> </w:t>
      </w:r>
    </w:p>
    <w:p w:rsidR="005062B0" w:rsidRDefault="007E3C87">
      <w:pPr>
        <w:spacing w:before="120" w:after="120" w:line="336" w:lineRule="auto"/>
      </w:pPr>
      <w:r>
        <w:rPr>
          <w:rFonts w:ascii="Arial" w:eastAsia="Arial" w:hAnsi="Arial" w:cs="Arial"/>
          <w:color w:val="000000"/>
          <w:sz w:val="24"/>
          <w:szCs w:val="24"/>
        </w:rPr>
        <w:t>The ov</w:t>
      </w:r>
      <w:r>
        <w:rPr>
          <w:rFonts w:ascii="Arial" w:eastAsia="Arial" w:hAnsi="Arial" w:cs="Arial"/>
          <w:color w:val="000000"/>
          <w:sz w:val="24"/>
          <w:szCs w:val="24"/>
        </w:rPr>
        <w:t>erall organisational engagement score in 2024 was 6.7, placing disabled staff 0.4 points below the organisational average and 0.6 points below their non-disabled peers.</w:t>
      </w:r>
      <w:r>
        <w:rPr>
          <w:rFonts w:ascii="Arimo" w:eastAsia="Arimo" w:hAnsi="Arimo" w:cs="Arimo"/>
          <w:color w:val="000000"/>
          <w:sz w:val="24"/>
          <w:szCs w:val="24"/>
        </w:rPr>
        <w:t xml:space="preserve"> </w:t>
      </w:r>
    </w:p>
    <w:p w:rsidR="005062B0" w:rsidRDefault="007E3C87">
      <w:pPr>
        <w:spacing w:before="120" w:after="120" w:line="336" w:lineRule="auto"/>
        <w:rPr>
          <w:rFonts w:ascii="Arial Bold" w:eastAsia="Arial Bold" w:hAnsi="Arial Bold" w:cs="Arial Bold"/>
          <w:b/>
          <w:bCs/>
          <w:color w:val="272D3A"/>
          <w:sz w:val="24"/>
          <w:szCs w:val="24"/>
        </w:rPr>
      </w:pPr>
      <w:r>
        <w:rPr>
          <w:rFonts w:ascii="Arial Bold" w:eastAsia="Arial Bold" w:hAnsi="Arial Bold" w:cs="Arial Bold"/>
          <w:b/>
          <w:bCs/>
          <w:color w:val="272D3A"/>
          <w:sz w:val="24"/>
          <w:szCs w:val="24"/>
        </w:rPr>
        <w:t xml:space="preserve">Board membership disability (WDES 10) </w:t>
      </w:r>
    </w:p>
    <w:p w:rsidR="005062B0" w:rsidRDefault="007E3C87">
      <w:pPr>
        <w:spacing w:before="120" w:after="120" w:line="336" w:lineRule="auto"/>
      </w:pPr>
      <w:r>
        <w:rPr>
          <w:rFonts w:ascii="Arial" w:eastAsia="Arial" w:hAnsi="Arial" w:cs="Arial"/>
          <w:color w:val="000000"/>
          <w:sz w:val="24"/>
          <w:szCs w:val="24"/>
        </w:rPr>
        <w:t>100% of the Board declare themselves to be non-</w:t>
      </w:r>
      <w:r>
        <w:rPr>
          <w:rFonts w:ascii="Arial" w:eastAsia="Arial" w:hAnsi="Arial" w:cs="Arial"/>
          <w:color w:val="000000"/>
          <w:sz w:val="24"/>
          <w:szCs w:val="24"/>
        </w:rPr>
        <w:t xml:space="preserve">disabled. </w:t>
      </w:r>
      <w:r>
        <w:rPr>
          <w:rFonts w:ascii="Arimo" w:eastAsia="Arimo" w:hAnsi="Arimo" w:cs="Arimo"/>
          <w:color w:val="000000"/>
          <w:sz w:val="24"/>
          <w:szCs w:val="24"/>
        </w:rPr>
        <w:t xml:space="preserve"> </w:t>
      </w:r>
    </w:p>
    <w:p w:rsidR="005062B0" w:rsidRDefault="005062B0">
      <w:pPr>
        <w:spacing w:before="120" w:after="120" w:line="336" w:lineRule="auto"/>
        <w:rPr>
          <w:rFonts w:ascii="Arial Bold" w:eastAsia="Arial Bold" w:hAnsi="Arial Bold" w:cs="Arial Bold"/>
          <w:b/>
          <w:bCs/>
          <w:color w:val="000000"/>
          <w:sz w:val="28"/>
          <w:szCs w:val="28"/>
        </w:rPr>
      </w:pPr>
    </w:p>
    <w:p w:rsidR="005062B0" w:rsidRDefault="005062B0">
      <w:pPr>
        <w:spacing w:before="120" w:after="120" w:line="336" w:lineRule="auto"/>
        <w:rPr>
          <w:rFonts w:ascii="Arial Bold" w:eastAsia="Arial Bold" w:hAnsi="Arial Bold" w:cs="Arial Bold"/>
          <w:b/>
          <w:bCs/>
          <w:color w:val="000000"/>
          <w:sz w:val="28"/>
          <w:szCs w:val="28"/>
        </w:rPr>
        <w:sectPr w:rsidR="005062B0">
          <w:headerReference w:type="default" r:id="rId19"/>
          <w:footerReference w:type="default" r:id="rId20"/>
          <w:pgSz w:w="11906" w:h="16838"/>
          <w:pgMar w:top="1440" w:right="1440" w:bottom="1440" w:left="1440" w:header="708" w:footer="708" w:gutter="0"/>
          <w:cols w:space="720"/>
        </w:sectPr>
      </w:pPr>
    </w:p>
    <w:p w:rsidR="005062B0" w:rsidRDefault="007E3C87">
      <w:pPr>
        <w:pStyle w:val="Heading1"/>
        <w:rPr>
          <w:rFonts w:ascii="Arial" w:hAnsi="Arial" w:cs="Arial"/>
        </w:rPr>
      </w:pPr>
      <w:r>
        <w:rPr>
          <w:rFonts w:ascii="Arial" w:hAnsi="Arial" w:cs="Arial"/>
        </w:rPr>
        <w:lastRenderedPageBreak/>
        <w:t>Disability Equality Action Plan (2024–26)</w:t>
      </w:r>
    </w:p>
    <w:tbl>
      <w:tblPr>
        <w:tblW w:w="13603" w:type="dxa"/>
        <w:tblCellMar>
          <w:left w:w="10" w:type="dxa"/>
          <w:right w:w="10" w:type="dxa"/>
        </w:tblCellMar>
        <w:tblLook w:val="04A0" w:firstRow="1" w:lastRow="0" w:firstColumn="1" w:lastColumn="0" w:noHBand="0" w:noVBand="1"/>
      </w:tblPr>
      <w:tblGrid>
        <w:gridCol w:w="1728"/>
        <w:gridCol w:w="2520"/>
        <w:gridCol w:w="3402"/>
        <w:gridCol w:w="3969"/>
        <w:gridCol w:w="1984"/>
      </w:tblGrid>
      <w:tr w:rsidR="005062B0">
        <w:tblPrEx>
          <w:tblCellMar>
            <w:top w:w="0" w:type="dxa"/>
            <w:bottom w:w="0" w:type="dxa"/>
          </w:tblCellMar>
        </w:tblPrEx>
        <w:tc>
          <w:tcPr>
            <w:tcW w:w="1728" w:type="dxa"/>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5062B0" w:rsidRDefault="007E3C87">
            <w:pPr>
              <w:rPr>
                <w:rFonts w:ascii="Arial" w:hAnsi="Arial" w:cs="Arial"/>
                <w:b/>
              </w:rPr>
            </w:pPr>
            <w:r>
              <w:rPr>
                <w:rFonts w:ascii="Arial" w:hAnsi="Arial" w:cs="Arial"/>
                <w:b/>
              </w:rPr>
              <w:t>Theme</w:t>
            </w:r>
          </w:p>
        </w:tc>
        <w:tc>
          <w:tcPr>
            <w:tcW w:w="2520" w:type="dxa"/>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5062B0" w:rsidRDefault="007E3C87">
            <w:pPr>
              <w:rPr>
                <w:rFonts w:ascii="Arial" w:hAnsi="Arial" w:cs="Arial"/>
                <w:b/>
              </w:rPr>
            </w:pPr>
            <w:r>
              <w:rPr>
                <w:rFonts w:ascii="Arial" w:hAnsi="Arial" w:cs="Arial"/>
                <w:b/>
              </w:rPr>
              <w:t>Objectives</w:t>
            </w:r>
          </w:p>
        </w:tc>
        <w:tc>
          <w:tcPr>
            <w:tcW w:w="3402" w:type="dxa"/>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5062B0" w:rsidRDefault="007E3C87">
            <w:pPr>
              <w:rPr>
                <w:rFonts w:ascii="Arial" w:hAnsi="Arial" w:cs="Arial"/>
                <w:b/>
              </w:rPr>
            </w:pPr>
            <w:r>
              <w:rPr>
                <w:rFonts w:ascii="Arial" w:hAnsi="Arial" w:cs="Arial"/>
                <w:b/>
              </w:rPr>
              <w:t>Actions</w:t>
            </w:r>
          </w:p>
        </w:tc>
        <w:tc>
          <w:tcPr>
            <w:tcW w:w="3969" w:type="dxa"/>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5062B0" w:rsidRDefault="007E3C87">
            <w:pPr>
              <w:rPr>
                <w:rFonts w:ascii="Arial" w:hAnsi="Arial" w:cs="Arial"/>
                <w:b/>
              </w:rPr>
            </w:pPr>
            <w:r>
              <w:rPr>
                <w:rFonts w:ascii="Arial" w:hAnsi="Arial" w:cs="Arial"/>
                <w:b/>
              </w:rPr>
              <w:t>Measures of Success</w:t>
            </w:r>
          </w:p>
        </w:tc>
        <w:tc>
          <w:tcPr>
            <w:tcW w:w="1984" w:type="dxa"/>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5062B0" w:rsidRDefault="007E3C87">
            <w:pPr>
              <w:rPr>
                <w:rFonts w:ascii="Arial" w:hAnsi="Arial" w:cs="Arial"/>
                <w:b/>
              </w:rPr>
            </w:pPr>
            <w:r>
              <w:rPr>
                <w:rFonts w:ascii="Arial" w:hAnsi="Arial" w:cs="Arial"/>
                <w:b/>
              </w:rPr>
              <w:t>Timeline</w:t>
            </w:r>
          </w:p>
        </w:tc>
      </w:tr>
      <w:tr w:rsidR="005062B0">
        <w:tblPrEx>
          <w:tblCellMar>
            <w:top w:w="0" w:type="dxa"/>
            <w:bottom w:w="0" w:type="dxa"/>
          </w:tblCellMar>
        </w:tblPrEx>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Representation &amp; Data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Increase ESR disability declarations</w:t>
            </w:r>
          </w:p>
          <w:p w:rsidR="005062B0" w:rsidRDefault="007E3C87">
            <w:pPr>
              <w:rPr>
                <w:rFonts w:ascii="Arial" w:hAnsi="Arial" w:cs="Arial"/>
              </w:rPr>
            </w:pPr>
            <w:r>
              <w:rPr>
                <w:rFonts w:ascii="Arial" w:hAnsi="Arial" w:cs="Arial"/>
              </w:rPr>
              <w:t>Reduce “unknown” status</w:t>
            </w:r>
          </w:p>
          <w:p w:rsidR="005062B0" w:rsidRDefault="007E3C87">
            <w:pPr>
              <w:rPr>
                <w:rFonts w:ascii="Arial" w:hAnsi="Arial" w:cs="Arial"/>
              </w:rPr>
            </w:pPr>
            <w:r>
              <w:rPr>
                <w:rFonts w:ascii="Arial" w:hAnsi="Arial" w:cs="Arial"/>
              </w:rPr>
              <w:t>Align ESR &amp; Staff Survey data</w:t>
            </w:r>
          </w:p>
          <w:p w:rsidR="005062B0" w:rsidRDefault="007E3C87">
            <w:pPr>
              <w:rPr>
                <w:rFonts w:ascii="Arial" w:hAnsi="Arial" w:cs="Arial"/>
              </w:rPr>
            </w:pPr>
            <w:r>
              <w:rPr>
                <w:rFonts w:ascii="Arial" w:hAnsi="Arial" w:cs="Arial"/>
              </w:rPr>
              <w:t>Improve senior-leader disability</w:t>
            </w:r>
            <w:r>
              <w:rPr>
                <w:rFonts w:ascii="Arial" w:hAnsi="Arial" w:cs="Arial"/>
              </w:rPr>
              <w:t xml:space="preserve"> data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Quarterly ESR declaration campaigns</w:t>
            </w:r>
          </w:p>
          <w:p w:rsidR="005062B0" w:rsidRDefault="007E3C87">
            <w:pPr>
              <w:rPr>
                <w:rFonts w:ascii="Arial" w:hAnsi="Arial" w:cs="Arial"/>
              </w:rPr>
            </w:pPr>
            <w:r>
              <w:rPr>
                <w:rFonts w:ascii="Arial" w:hAnsi="Arial" w:cs="Arial"/>
              </w:rPr>
              <w:t>Declaration prompts in onboarding/appraisals</w:t>
            </w:r>
          </w:p>
          <w:p w:rsidR="005062B0" w:rsidRDefault="007E3C87">
            <w:pPr>
              <w:rPr>
                <w:rFonts w:ascii="Arial" w:hAnsi="Arial" w:cs="Arial"/>
              </w:rPr>
            </w:pPr>
            <w:r>
              <w:rPr>
                <w:rFonts w:ascii="Arial" w:hAnsi="Arial" w:cs="Arial"/>
              </w:rPr>
              <w:t>Annual ESR vs Staff Survey comparison</w:t>
            </w:r>
          </w:p>
          <w:p w:rsidR="005062B0" w:rsidRDefault="007E3C87">
            <w:pPr>
              <w:rPr>
                <w:rFonts w:ascii="Arial" w:hAnsi="Arial" w:cs="Arial"/>
              </w:rPr>
            </w:pPr>
            <w:r>
              <w:rPr>
                <w:rFonts w:ascii="Arial" w:hAnsi="Arial" w:cs="Arial"/>
              </w:rPr>
              <w:t>Senior-leader declaration initiative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Reduction in “unknown” declarations</w:t>
            </w:r>
          </w:p>
          <w:p w:rsidR="005062B0" w:rsidRDefault="007E3C87">
            <w:pPr>
              <w:rPr>
                <w:rFonts w:ascii="Arial" w:hAnsi="Arial" w:cs="Arial"/>
              </w:rPr>
            </w:pPr>
            <w:r>
              <w:rPr>
                <w:rFonts w:ascii="Arial" w:hAnsi="Arial" w:cs="Arial"/>
              </w:rPr>
              <w:t>Increased overall declarations</w:t>
            </w:r>
          </w:p>
          <w:p w:rsidR="005062B0" w:rsidRDefault="007E3C87">
            <w:pPr>
              <w:rPr>
                <w:rFonts w:ascii="Arial" w:hAnsi="Arial" w:cs="Arial"/>
              </w:rPr>
            </w:pPr>
            <w:r>
              <w:rPr>
                <w:rFonts w:ascii="Arial" w:hAnsi="Arial" w:cs="Arial"/>
              </w:rPr>
              <w:t>Improved data accuracy</w:t>
            </w:r>
          </w:p>
          <w:p w:rsidR="005062B0" w:rsidRDefault="007E3C87">
            <w:pPr>
              <w:rPr>
                <w:rFonts w:ascii="Arial" w:hAnsi="Arial" w:cs="Arial"/>
              </w:rPr>
            </w:pPr>
            <w:r>
              <w:rPr>
                <w:rFonts w:ascii="Arial" w:hAnsi="Arial" w:cs="Arial"/>
              </w:rPr>
              <w:t>More</w:t>
            </w:r>
            <w:r>
              <w:rPr>
                <w:rFonts w:ascii="Arial" w:hAnsi="Arial" w:cs="Arial"/>
              </w:rPr>
              <w:t xml:space="preserve"> senior leaders declaring disability status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Start Q1 2024; review quarterly</w:t>
            </w:r>
          </w:p>
        </w:tc>
      </w:tr>
      <w:tr w:rsidR="005062B0">
        <w:tblPrEx>
          <w:tblCellMar>
            <w:top w:w="0" w:type="dxa"/>
            <w:bottom w:w="0" w:type="dxa"/>
          </w:tblCellMar>
        </w:tblPrEx>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Capability &amp; Support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Strengthen early resolution support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 xml:space="preserve">Manager training on early resolution </w:t>
            </w:r>
          </w:p>
          <w:p w:rsidR="005062B0" w:rsidRDefault="007E3C87">
            <w:pPr>
              <w:rPr>
                <w:rFonts w:ascii="Arial" w:hAnsi="Arial" w:cs="Arial"/>
              </w:rPr>
            </w:pPr>
            <w:r>
              <w:rPr>
                <w:rFonts w:ascii="Arial" w:hAnsi="Arial" w:cs="Arial"/>
              </w:rPr>
              <w:t>Central adjustments hub</w:t>
            </w:r>
          </w:p>
          <w:p w:rsidR="005062B0" w:rsidRDefault="007E3C87">
            <w:pPr>
              <w:rPr>
                <w:rFonts w:ascii="Arial" w:hAnsi="Arial" w:cs="Arial"/>
              </w:rPr>
            </w:pPr>
            <w:r>
              <w:rPr>
                <w:rFonts w:ascii="Arial" w:hAnsi="Arial" w:cs="Arial"/>
              </w:rPr>
              <w:t>Adjustments Passport</w:t>
            </w:r>
          </w:p>
          <w:p w:rsidR="005062B0" w:rsidRDefault="007E3C87">
            <w:pPr>
              <w:rPr>
                <w:rFonts w:ascii="Arial" w:hAnsi="Arial" w:cs="Arial"/>
              </w:rPr>
            </w:pPr>
            <w:r>
              <w:rPr>
                <w:rFonts w:ascii="Arial" w:hAnsi="Arial" w:cs="Arial"/>
              </w:rPr>
              <w:t>Promote OH/EAP/network support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 xml:space="preserve">Reduced </w:t>
            </w:r>
            <w:r>
              <w:rPr>
                <w:rFonts w:ascii="Arial" w:hAnsi="Arial" w:cs="Arial"/>
              </w:rPr>
              <w:t>formal casework</w:t>
            </w:r>
          </w:p>
          <w:p w:rsidR="005062B0" w:rsidRDefault="007E3C87">
            <w:pPr>
              <w:rPr>
                <w:rFonts w:ascii="Arial" w:hAnsi="Arial" w:cs="Arial"/>
              </w:rPr>
            </w:pPr>
            <w:r>
              <w:rPr>
                <w:rFonts w:ascii="Arial" w:hAnsi="Arial" w:cs="Arial"/>
              </w:rPr>
              <w:t>Higher support scores</w:t>
            </w:r>
          </w:p>
          <w:p w:rsidR="005062B0" w:rsidRDefault="007E3C87">
            <w:pPr>
              <w:rPr>
                <w:rFonts w:ascii="Arial" w:hAnsi="Arial" w:cs="Arial"/>
              </w:rPr>
            </w:pPr>
            <w:r>
              <w:rPr>
                <w:rFonts w:ascii="Arial" w:hAnsi="Arial" w:cs="Arial"/>
              </w:rPr>
              <w:t>Increased Passport usage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Training Q2 2024; Hub Q3 2024</w:t>
            </w:r>
          </w:p>
        </w:tc>
      </w:tr>
      <w:tr w:rsidR="005062B0">
        <w:tblPrEx>
          <w:tblCellMar>
            <w:top w:w="0" w:type="dxa"/>
            <w:bottom w:w="0" w:type="dxa"/>
          </w:tblCellMar>
        </w:tblPrEx>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Harassment, Bullying, Abuse &amp; Discrimination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Increase confidence reporting incidents</w:t>
            </w:r>
          </w:p>
          <w:p w:rsidR="005062B0" w:rsidRDefault="007E3C87">
            <w:pPr>
              <w:rPr>
                <w:rFonts w:ascii="Arial" w:hAnsi="Arial" w:cs="Arial"/>
              </w:rPr>
            </w:pPr>
            <w:r>
              <w:rPr>
                <w:rFonts w:ascii="Arial" w:hAnsi="Arial" w:cs="Arial"/>
              </w:rPr>
              <w:t>Reduce colleague harassment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Improved reporting mechanisms</w:t>
            </w:r>
          </w:p>
          <w:p w:rsidR="005062B0" w:rsidRDefault="007E3C87">
            <w:pPr>
              <w:rPr>
                <w:rFonts w:ascii="Arial" w:hAnsi="Arial" w:cs="Arial"/>
              </w:rPr>
            </w:pPr>
            <w:r>
              <w:rPr>
                <w:rFonts w:ascii="Arial" w:hAnsi="Arial" w:cs="Arial"/>
              </w:rPr>
              <w:t xml:space="preserve">Promote safe </w:t>
            </w:r>
            <w:r>
              <w:rPr>
                <w:rFonts w:ascii="Arial" w:hAnsi="Arial" w:cs="Arial"/>
              </w:rPr>
              <w:t>reporting routes</w:t>
            </w:r>
          </w:p>
          <w:p w:rsidR="005062B0" w:rsidRDefault="007E3C87">
            <w:pPr>
              <w:rPr>
                <w:rFonts w:ascii="Arial" w:hAnsi="Arial" w:cs="Arial"/>
              </w:rPr>
            </w:pPr>
            <w:r>
              <w:rPr>
                <w:rFonts w:ascii="Arial" w:hAnsi="Arial" w:cs="Arial"/>
              </w:rPr>
              <w:t>Behavioural standards workshops</w:t>
            </w:r>
          </w:p>
          <w:p w:rsidR="005062B0" w:rsidRDefault="007E3C87">
            <w:pPr>
              <w:rPr>
                <w:rFonts w:ascii="Arial" w:hAnsi="Arial" w:cs="Arial"/>
              </w:rPr>
            </w:pPr>
            <w:r>
              <w:rPr>
                <w:rFonts w:ascii="Arial" w:hAnsi="Arial" w:cs="Arial"/>
              </w:rPr>
              <w:t>Quarterly incident analysis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Higher reporting confidence</w:t>
            </w:r>
          </w:p>
          <w:p w:rsidR="005062B0" w:rsidRDefault="007E3C87">
            <w:pPr>
              <w:rPr>
                <w:rFonts w:ascii="Arial" w:hAnsi="Arial" w:cs="Arial"/>
              </w:rPr>
            </w:pPr>
            <w:r>
              <w:rPr>
                <w:rFonts w:ascii="Arial" w:hAnsi="Arial" w:cs="Arial"/>
              </w:rPr>
              <w:t>Fewer harassment incidents</w:t>
            </w:r>
          </w:p>
          <w:p w:rsidR="005062B0" w:rsidRDefault="007E3C87">
            <w:pPr>
              <w:rPr>
                <w:rFonts w:ascii="Arial" w:hAnsi="Arial" w:cs="Arial"/>
              </w:rPr>
            </w:pPr>
            <w:r>
              <w:rPr>
                <w:rFonts w:ascii="Arial" w:hAnsi="Arial" w:cs="Arial"/>
              </w:rPr>
              <w:t>Reduced non-reporting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Updates Q2 2024; training ongoing</w:t>
            </w:r>
          </w:p>
        </w:tc>
      </w:tr>
      <w:tr w:rsidR="005062B0">
        <w:tblPrEx>
          <w:tblCellMar>
            <w:top w:w="0" w:type="dxa"/>
            <w:bottom w:w="0" w:type="dxa"/>
          </w:tblCellMar>
        </w:tblPrEx>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lastRenderedPageBreak/>
              <w:t>Career Progression &amp;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Improve progression into Bands 7–8</w:t>
            </w:r>
          </w:p>
          <w:p w:rsidR="005062B0" w:rsidRDefault="007E3C87">
            <w:pPr>
              <w:rPr>
                <w:rFonts w:ascii="Arial" w:hAnsi="Arial" w:cs="Arial"/>
              </w:rPr>
            </w:pPr>
            <w:r>
              <w:rPr>
                <w:rFonts w:ascii="Arial" w:hAnsi="Arial" w:cs="Arial"/>
              </w:rPr>
              <w:t>Build leadership pipeline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Targeted mentoring programme</w:t>
            </w:r>
          </w:p>
          <w:p w:rsidR="005062B0" w:rsidRDefault="007E3C87">
            <w:pPr>
              <w:rPr>
                <w:rFonts w:ascii="Arial" w:hAnsi="Arial" w:cs="Arial"/>
              </w:rPr>
            </w:pPr>
            <w:r>
              <w:rPr>
                <w:rFonts w:ascii="Arial" w:hAnsi="Arial" w:cs="Arial"/>
              </w:rPr>
              <w:t>Development pathway for Bands 6–7</w:t>
            </w:r>
          </w:p>
          <w:p w:rsidR="005062B0" w:rsidRDefault="007E3C87">
            <w:pPr>
              <w:rPr>
                <w:rFonts w:ascii="Arial" w:hAnsi="Arial" w:cs="Arial"/>
              </w:rPr>
            </w:pPr>
            <w:r>
              <w:rPr>
                <w:rFonts w:ascii="Arial" w:hAnsi="Arial" w:cs="Arial"/>
              </w:rPr>
              <w:t>Positive-action leadership schemes</w:t>
            </w:r>
          </w:p>
          <w:p w:rsidR="005062B0" w:rsidRDefault="007E3C87">
            <w:pPr>
              <w:rPr>
                <w:rFonts w:ascii="Arial" w:hAnsi="Arial" w:cs="Arial"/>
              </w:rPr>
            </w:pPr>
            <w:r>
              <w:rPr>
                <w:rFonts w:ascii="Arial" w:hAnsi="Arial" w:cs="Arial"/>
              </w:rPr>
              <w:t>Track progression data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More disabled staff in Bands 7–8</w:t>
            </w:r>
          </w:p>
          <w:p w:rsidR="005062B0" w:rsidRDefault="007E3C87">
            <w:pPr>
              <w:rPr>
                <w:rFonts w:ascii="Arial" w:hAnsi="Arial" w:cs="Arial"/>
              </w:rPr>
            </w:pPr>
            <w:r>
              <w:rPr>
                <w:rFonts w:ascii="Arial" w:hAnsi="Arial" w:cs="Arial"/>
              </w:rPr>
              <w:t>Higher leadership participation</w:t>
            </w:r>
          </w:p>
          <w:p w:rsidR="005062B0" w:rsidRDefault="007E3C87">
            <w:pPr>
              <w:rPr>
                <w:rFonts w:ascii="Arial" w:hAnsi="Arial" w:cs="Arial"/>
              </w:rPr>
            </w:pPr>
            <w:r>
              <w:rPr>
                <w:rFonts w:ascii="Arial" w:hAnsi="Arial" w:cs="Arial"/>
              </w:rPr>
              <w:t>Increased senior representation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 xml:space="preserve">Mentoring </w:t>
            </w:r>
            <w:r>
              <w:rPr>
                <w:rFonts w:ascii="Arial" w:hAnsi="Arial" w:cs="Arial"/>
              </w:rPr>
              <w:t>Q3 2024; pipeline Q1 2025</w:t>
            </w:r>
          </w:p>
        </w:tc>
      </w:tr>
      <w:tr w:rsidR="005062B0">
        <w:tblPrEx>
          <w:tblCellMar>
            <w:top w:w="0" w:type="dxa"/>
            <w:bottom w:w="0" w:type="dxa"/>
          </w:tblCellMar>
        </w:tblPrEx>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Health, Wellbeing &amp; Working Culture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Reduce presenteeism</w:t>
            </w:r>
          </w:p>
          <w:p w:rsidR="005062B0" w:rsidRDefault="007E3C87">
            <w:pPr>
              <w:rPr>
                <w:rFonts w:ascii="Arial" w:hAnsi="Arial" w:cs="Arial"/>
              </w:rPr>
            </w:pPr>
            <w:r>
              <w:rPr>
                <w:rFonts w:ascii="Arial" w:hAnsi="Arial" w:cs="Arial"/>
              </w:rPr>
              <w:t>Adjustments satisfaction 85% - 90%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Manager training</w:t>
            </w:r>
          </w:p>
          <w:p w:rsidR="005062B0" w:rsidRDefault="007E3C87">
            <w:pPr>
              <w:rPr>
                <w:rFonts w:ascii="Arial" w:hAnsi="Arial" w:cs="Arial"/>
              </w:rPr>
            </w:pPr>
            <w:r>
              <w:rPr>
                <w:rFonts w:ascii="Arial" w:hAnsi="Arial" w:cs="Arial"/>
              </w:rPr>
              <w:t>Adjustment review cycle</w:t>
            </w:r>
          </w:p>
          <w:p w:rsidR="005062B0" w:rsidRDefault="007E3C87">
            <w:pPr>
              <w:rPr>
                <w:rFonts w:ascii="Arial" w:hAnsi="Arial" w:cs="Arial"/>
              </w:rPr>
            </w:pPr>
            <w:r>
              <w:rPr>
                <w:rFonts w:ascii="Arial" w:hAnsi="Arial" w:cs="Arial"/>
              </w:rPr>
              <w:t>Promote flexible working</w:t>
            </w:r>
          </w:p>
          <w:p w:rsidR="005062B0" w:rsidRDefault="007E3C87">
            <w:pPr>
              <w:rPr>
                <w:rFonts w:ascii="Arial" w:hAnsi="Arial" w:cs="Arial"/>
              </w:rPr>
            </w:pPr>
            <w:r>
              <w:rPr>
                <w:rFonts w:ascii="Arial" w:hAnsi="Arial" w:cs="Arial"/>
              </w:rPr>
              <w:t>Wellbeing dashboards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Higher satisfaction</w:t>
            </w:r>
          </w:p>
          <w:p w:rsidR="005062B0" w:rsidRDefault="007E3C87">
            <w:pPr>
              <w:rPr>
                <w:rFonts w:ascii="Arial" w:hAnsi="Arial" w:cs="Arial"/>
              </w:rPr>
            </w:pPr>
            <w:r>
              <w:rPr>
                <w:rFonts w:ascii="Arial" w:hAnsi="Arial" w:cs="Arial"/>
              </w:rPr>
              <w:t>Reduced presenteeism</w:t>
            </w:r>
          </w:p>
          <w:p w:rsidR="005062B0" w:rsidRDefault="007E3C87">
            <w:pPr>
              <w:rPr>
                <w:rFonts w:ascii="Arial" w:hAnsi="Arial" w:cs="Arial"/>
              </w:rPr>
            </w:pPr>
            <w:r>
              <w:rPr>
                <w:rFonts w:ascii="Arial" w:hAnsi="Arial" w:cs="Arial"/>
              </w:rPr>
              <w:t xml:space="preserve">More </w:t>
            </w:r>
            <w:r>
              <w:rPr>
                <w:rFonts w:ascii="Arial" w:hAnsi="Arial" w:cs="Arial"/>
              </w:rPr>
              <w:t>flexible working uptake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Training Q2 2024; dashboards Q4 2024</w:t>
            </w:r>
          </w:p>
        </w:tc>
      </w:tr>
      <w:tr w:rsidR="005062B0">
        <w:tblPrEx>
          <w:tblCellMar>
            <w:top w:w="0" w:type="dxa"/>
            <w:bottom w:w="0" w:type="dxa"/>
          </w:tblCellMar>
        </w:tblPrEx>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Staff Engagement &amp; Feeling Valued</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Raise satisfaction levels</w:t>
            </w:r>
          </w:p>
          <w:p w:rsidR="005062B0" w:rsidRDefault="007E3C87">
            <w:pPr>
              <w:rPr>
                <w:rFonts w:ascii="Arial" w:hAnsi="Arial" w:cs="Arial"/>
              </w:rPr>
            </w:pPr>
            <w:r>
              <w:rPr>
                <w:rFonts w:ascii="Arial" w:hAnsi="Arial" w:cs="Arial"/>
              </w:rPr>
              <w:t>Move toward parity</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Senior leader engagement</w:t>
            </w:r>
          </w:p>
          <w:p w:rsidR="005062B0" w:rsidRDefault="007E3C87">
            <w:pPr>
              <w:rPr>
                <w:rFonts w:ascii="Arial" w:hAnsi="Arial" w:cs="Arial"/>
              </w:rPr>
            </w:pPr>
            <w:r>
              <w:rPr>
                <w:rFonts w:ascii="Arial" w:hAnsi="Arial" w:cs="Arial"/>
              </w:rPr>
              <w:t>Quarterly listening events</w:t>
            </w:r>
          </w:p>
          <w:p w:rsidR="005062B0" w:rsidRDefault="007E3C87">
            <w:pPr>
              <w:rPr>
                <w:rFonts w:ascii="Arial" w:hAnsi="Arial" w:cs="Arial"/>
              </w:rPr>
            </w:pPr>
            <w:r>
              <w:rPr>
                <w:rFonts w:ascii="Arial" w:hAnsi="Arial" w:cs="Arial"/>
              </w:rPr>
              <w:t>Disability History Month visibility</w:t>
            </w:r>
          </w:p>
          <w:p w:rsidR="005062B0" w:rsidRDefault="007E3C87">
            <w:pPr>
              <w:rPr>
                <w:rFonts w:ascii="Arial" w:hAnsi="Arial" w:cs="Arial"/>
              </w:rPr>
            </w:pPr>
            <w:r>
              <w:rPr>
                <w:rFonts w:ascii="Arial" w:hAnsi="Arial" w:cs="Arial"/>
              </w:rPr>
              <w:t>You said, we did” updates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I</w:t>
            </w:r>
            <w:r>
              <w:rPr>
                <w:rFonts w:ascii="Arial" w:hAnsi="Arial" w:cs="Arial"/>
              </w:rPr>
              <w:t>mproved survey scores</w:t>
            </w:r>
          </w:p>
          <w:p w:rsidR="005062B0" w:rsidRDefault="007E3C87">
            <w:pPr>
              <w:rPr>
                <w:rFonts w:ascii="Arial" w:hAnsi="Arial" w:cs="Arial"/>
              </w:rPr>
            </w:pPr>
            <w:r>
              <w:rPr>
                <w:rFonts w:ascii="Arial" w:hAnsi="Arial" w:cs="Arial"/>
              </w:rPr>
              <w:t>Higher event attendance</w:t>
            </w:r>
          </w:p>
          <w:p w:rsidR="005062B0" w:rsidRDefault="007E3C87">
            <w:pPr>
              <w:rPr>
                <w:rFonts w:ascii="Arial" w:hAnsi="Arial" w:cs="Arial"/>
              </w:rPr>
            </w:pPr>
            <w:r>
              <w:rPr>
                <w:rFonts w:ascii="Arial" w:hAnsi="Arial" w:cs="Arial"/>
              </w:rPr>
              <w:t>Reduced experience gap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62B0" w:rsidRDefault="007E3C87">
            <w:pPr>
              <w:rPr>
                <w:rFonts w:ascii="Arial" w:hAnsi="Arial" w:cs="Arial"/>
              </w:rPr>
            </w:pPr>
            <w:r>
              <w:rPr>
                <w:rFonts w:ascii="Arial" w:hAnsi="Arial" w:cs="Arial"/>
              </w:rPr>
              <w:t>Events from Q2 2024; ongoing</w:t>
            </w:r>
          </w:p>
        </w:tc>
      </w:tr>
    </w:tbl>
    <w:p w:rsidR="005062B0" w:rsidRDefault="005062B0"/>
    <w:p w:rsidR="005062B0" w:rsidRDefault="005062B0"/>
    <w:sectPr w:rsidR="005062B0">
      <w:headerReference w:type="default" r:id="rId21"/>
      <w:pgSz w:w="1584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E3C87">
      <w:pPr>
        <w:spacing w:after="0" w:line="240" w:lineRule="auto"/>
      </w:pPr>
      <w:r>
        <w:separator/>
      </w:r>
    </w:p>
  </w:endnote>
  <w:endnote w:type="continuationSeparator" w:id="0">
    <w:p w:rsidR="00000000" w:rsidRDefault="007E3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Bold">
    <w:panose1 w:val="020B0704020202020204"/>
    <w:charset w:val="00"/>
    <w:family w:val="roman"/>
    <w:pitch w:val="default"/>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C87" w:rsidRPr="007E3C87" w:rsidRDefault="007E3C87">
    <w:pPr>
      <w:tabs>
        <w:tab w:val="center" w:pos="4550"/>
        <w:tab w:val="left" w:pos="5818"/>
      </w:tabs>
      <w:ind w:right="260"/>
      <w:jc w:val="right"/>
      <w:rPr>
        <w:rFonts w:ascii="Arial" w:hAnsi="Arial" w:cs="Arial"/>
        <w:color w:val="222A35" w:themeColor="text2" w:themeShade="80"/>
        <w:sz w:val="20"/>
        <w:szCs w:val="20"/>
      </w:rPr>
    </w:pPr>
    <w:r w:rsidRPr="007E3C87">
      <w:rPr>
        <w:rFonts w:ascii="Arial" w:hAnsi="Arial" w:cs="Arial"/>
        <w:color w:val="8496B0" w:themeColor="text2" w:themeTint="99"/>
        <w:spacing w:val="60"/>
        <w:sz w:val="20"/>
        <w:szCs w:val="20"/>
      </w:rPr>
      <w:t>Page</w:t>
    </w:r>
    <w:r w:rsidRPr="007E3C87">
      <w:rPr>
        <w:rFonts w:ascii="Arial" w:hAnsi="Arial" w:cs="Arial"/>
        <w:color w:val="8496B0" w:themeColor="text2" w:themeTint="99"/>
        <w:sz w:val="20"/>
        <w:szCs w:val="20"/>
      </w:rPr>
      <w:t xml:space="preserve"> </w:t>
    </w:r>
    <w:r w:rsidRPr="007E3C87">
      <w:rPr>
        <w:rFonts w:ascii="Arial" w:hAnsi="Arial" w:cs="Arial"/>
        <w:color w:val="323E4F" w:themeColor="text2" w:themeShade="BF"/>
        <w:sz w:val="20"/>
        <w:szCs w:val="20"/>
      </w:rPr>
      <w:fldChar w:fldCharType="begin"/>
    </w:r>
    <w:r w:rsidRPr="007E3C87">
      <w:rPr>
        <w:rFonts w:ascii="Arial" w:hAnsi="Arial" w:cs="Arial"/>
        <w:color w:val="323E4F" w:themeColor="text2" w:themeShade="BF"/>
        <w:sz w:val="20"/>
        <w:szCs w:val="20"/>
      </w:rPr>
      <w:instrText xml:space="preserve"> PAGE   \* MERGEFORMAT </w:instrText>
    </w:r>
    <w:r w:rsidRPr="007E3C87">
      <w:rPr>
        <w:rFonts w:ascii="Arial" w:hAnsi="Arial" w:cs="Arial"/>
        <w:color w:val="323E4F" w:themeColor="text2" w:themeShade="BF"/>
        <w:sz w:val="20"/>
        <w:szCs w:val="20"/>
      </w:rPr>
      <w:fldChar w:fldCharType="separate"/>
    </w:r>
    <w:r w:rsidRPr="007E3C87">
      <w:rPr>
        <w:rFonts w:ascii="Arial" w:hAnsi="Arial" w:cs="Arial"/>
        <w:noProof/>
        <w:color w:val="323E4F" w:themeColor="text2" w:themeShade="BF"/>
        <w:sz w:val="20"/>
        <w:szCs w:val="20"/>
      </w:rPr>
      <w:t>1</w:t>
    </w:r>
    <w:r w:rsidRPr="007E3C87">
      <w:rPr>
        <w:rFonts w:ascii="Arial" w:hAnsi="Arial" w:cs="Arial"/>
        <w:color w:val="323E4F" w:themeColor="text2" w:themeShade="BF"/>
        <w:sz w:val="20"/>
        <w:szCs w:val="20"/>
      </w:rPr>
      <w:fldChar w:fldCharType="end"/>
    </w:r>
    <w:r w:rsidRPr="007E3C87">
      <w:rPr>
        <w:rFonts w:ascii="Arial" w:hAnsi="Arial" w:cs="Arial"/>
        <w:color w:val="323E4F" w:themeColor="text2" w:themeShade="BF"/>
        <w:sz w:val="20"/>
        <w:szCs w:val="20"/>
      </w:rPr>
      <w:t xml:space="preserve"> | </w:t>
    </w:r>
    <w:r w:rsidRPr="007E3C87">
      <w:rPr>
        <w:rFonts w:ascii="Arial" w:hAnsi="Arial" w:cs="Arial"/>
        <w:color w:val="323E4F" w:themeColor="text2" w:themeShade="BF"/>
        <w:sz w:val="20"/>
        <w:szCs w:val="20"/>
      </w:rPr>
      <w:fldChar w:fldCharType="begin"/>
    </w:r>
    <w:r w:rsidRPr="007E3C87">
      <w:rPr>
        <w:rFonts w:ascii="Arial" w:hAnsi="Arial" w:cs="Arial"/>
        <w:color w:val="323E4F" w:themeColor="text2" w:themeShade="BF"/>
        <w:sz w:val="20"/>
        <w:szCs w:val="20"/>
      </w:rPr>
      <w:instrText xml:space="preserve"> NUMPAGES  \* Arabic  \* MERGEFORMAT </w:instrText>
    </w:r>
    <w:r w:rsidRPr="007E3C87">
      <w:rPr>
        <w:rFonts w:ascii="Arial" w:hAnsi="Arial" w:cs="Arial"/>
        <w:color w:val="323E4F" w:themeColor="text2" w:themeShade="BF"/>
        <w:sz w:val="20"/>
        <w:szCs w:val="20"/>
      </w:rPr>
      <w:fldChar w:fldCharType="separate"/>
    </w:r>
    <w:r w:rsidRPr="007E3C87">
      <w:rPr>
        <w:rFonts w:ascii="Arial" w:hAnsi="Arial" w:cs="Arial"/>
        <w:noProof/>
        <w:color w:val="323E4F" w:themeColor="text2" w:themeShade="BF"/>
        <w:sz w:val="20"/>
        <w:szCs w:val="20"/>
      </w:rPr>
      <w:t>1</w:t>
    </w:r>
    <w:r w:rsidRPr="007E3C87">
      <w:rPr>
        <w:rFonts w:ascii="Arial" w:hAnsi="Arial" w:cs="Arial"/>
        <w:color w:val="323E4F" w:themeColor="text2" w:themeShade="BF"/>
        <w:sz w:val="20"/>
        <w:szCs w:val="20"/>
      </w:rPr>
      <w:fldChar w:fldCharType="end"/>
    </w:r>
  </w:p>
  <w:p w:rsidR="007E3C87" w:rsidRDefault="007E3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E3C87">
      <w:pPr>
        <w:spacing w:after="0" w:line="240" w:lineRule="auto"/>
      </w:pPr>
      <w:r>
        <w:rPr>
          <w:color w:val="000000"/>
        </w:rPr>
        <w:separator/>
      </w:r>
    </w:p>
  </w:footnote>
  <w:footnote w:type="continuationSeparator" w:id="0">
    <w:p w:rsidR="00000000" w:rsidRDefault="007E3C87">
      <w:pPr>
        <w:spacing w:after="0" w:line="240" w:lineRule="auto"/>
      </w:pPr>
      <w:r>
        <w:continuationSeparator/>
      </w:r>
    </w:p>
  </w:footnote>
  <w:footnote w:id="1">
    <w:p w:rsidR="005062B0" w:rsidRDefault="007E3C87">
      <w:pPr>
        <w:spacing w:after="0" w:line="240" w:lineRule="auto"/>
      </w:pPr>
      <w:r>
        <w:rPr>
          <w:rStyle w:val="FootnoteReference"/>
        </w:rPr>
        <w:footnoteRef/>
      </w:r>
      <w:r>
        <w:t xml:space="preserve"> </w:t>
      </w:r>
      <w:r>
        <w:rPr>
          <w:rFonts w:ascii="Arial" w:hAnsi="Arial" w:cs="Arial"/>
          <w:sz w:val="18"/>
        </w:rPr>
        <w:t>The data analysed from KMMH</w:t>
      </w:r>
      <w:r>
        <w:rPr>
          <w:rFonts w:ascii="Arial" w:hAnsi="Arial" w:cs="Arial"/>
          <w:sz w:val="18"/>
        </w:rPr>
        <w:t>’s Electronic Records System (ESR) and the 2023 Staff Survey.</w:t>
      </w:r>
    </w:p>
    <w:p w:rsidR="005062B0" w:rsidRDefault="005062B0">
      <w:pPr>
        <w:pStyle w:val="FootnoteText"/>
      </w:pPr>
    </w:p>
  </w:footnote>
  <w:footnote w:id="2">
    <w:p w:rsidR="005062B0" w:rsidRDefault="007E3C87">
      <w:pPr>
        <w:pStyle w:val="FootnoteText"/>
      </w:pPr>
      <w:r>
        <w:rPr>
          <w:rStyle w:val="FootnoteReference"/>
        </w:rPr>
        <w:footnoteRef/>
      </w:r>
      <w:r>
        <w:t xml:space="preserve"> </w:t>
      </w:r>
      <w:hyperlink r:id="rId1" w:history="1">
        <w:r>
          <w:rPr>
            <w:rStyle w:val="Hyperlink"/>
            <w:color w:val="0000FF"/>
            <w:sz w:val="22"/>
            <w:szCs w:val="22"/>
          </w:rPr>
          <w:t xml:space="preserve">NHS England » Workforce Disability Equality Standard: 2023 data analysis </w:t>
        </w:r>
        <w:r>
          <w:rPr>
            <w:rStyle w:val="Hyperlink"/>
            <w:color w:val="0000FF"/>
            <w:sz w:val="22"/>
            <w:szCs w:val="22"/>
          </w:rPr>
          <w:t>report for NHS trusts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FE" w:rsidRDefault="007E3C87">
    <w:pPr>
      <w:pStyle w:val="Header"/>
    </w:pPr>
    <w:r>
      <w:rPr>
        <w:noProof/>
      </w:rPr>
      <w:drawing>
        <wp:anchor distT="0" distB="0" distL="114300" distR="114300" simplePos="0" relativeHeight="251662336" behindDoc="1" locked="0" layoutInCell="1" allowOverlap="1" wp14:anchorId="4D448D1E">
          <wp:simplePos x="0" y="0"/>
          <wp:positionH relativeFrom="margin">
            <wp:posOffset>1731010</wp:posOffset>
          </wp:positionH>
          <wp:positionV relativeFrom="paragraph">
            <wp:posOffset>-440055</wp:posOffset>
          </wp:positionV>
          <wp:extent cx="4867275" cy="847725"/>
          <wp:effectExtent l="0" t="0" r="9525" b="9525"/>
          <wp:wrapTight wrapText="bothSides">
            <wp:wrapPolygon edited="0">
              <wp:start x="0" y="0"/>
              <wp:lineTo x="0" y="21357"/>
              <wp:lineTo x="21558" y="21357"/>
              <wp:lineTo x="2155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16" b="85816"/>
                  <a:stretch/>
                </pic:blipFill>
                <pic:spPr bwMode="auto">
                  <a:xfrm>
                    <a:off x="0" y="0"/>
                    <a:ext cx="48672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0FE" w:rsidRDefault="007E3C87">
    <w:pPr>
      <w:pStyle w:val="Header"/>
    </w:pPr>
    <w:r>
      <w:rPr>
        <w:noProof/>
      </w:rPr>
      <w:drawing>
        <wp:anchor distT="0" distB="0" distL="114300" distR="114300" simplePos="0" relativeHeight="251661312" behindDoc="0" locked="0" layoutInCell="1" allowOverlap="1">
          <wp:simplePos x="0" y="0"/>
          <wp:positionH relativeFrom="column">
            <wp:posOffset>4325514</wp:posOffset>
          </wp:positionH>
          <wp:positionV relativeFrom="paragraph">
            <wp:posOffset>-386434</wp:posOffset>
          </wp:positionV>
          <wp:extent cx="2268224" cy="664211"/>
          <wp:effectExtent l="0" t="0" r="0" b="2539"/>
          <wp:wrapTight wrapText="bothSides">
            <wp:wrapPolygon edited="0">
              <wp:start x="0" y="0"/>
              <wp:lineTo x="0" y="21063"/>
              <wp:lineTo x="21406" y="21063"/>
              <wp:lineTo x="21406" y="0"/>
              <wp:lineTo x="0" y="0"/>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68224" cy="664211"/>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937D3"/>
    <w:multiLevelType w:val="multilevel"/>
    <w:tmpl w:val="CB864A7E"/>
    <w:lvl w:ilvl="0">
      <w:numFmt w:val="bullet"/>
      <w:lvlText w:val=""/>
      <w:lvlJc w:val="left"/>
      <w:pPr>
        <w:ind w:left="400" w:hanging="360"/>
      </w:pPr>
      <w:rPr>
        <w:rFonts w:ascii="Symbol" w:hAnsi="Symbol"/>
      </w:rPr>
    </w:lvl>
    <w:lvl w:ilvl="1">
      <w:numFmt w:val="bullet"/>
      <w:lvlText w:val="o"/>
      <w:lvlJc w:val="left"/>
      <w:pPr>
        <w:ind w:left="800" w:hanging="360"/>
      </w:pPr>
      <w:rPr>
        <w:rFonts w:ascii="Courier New" w:hAnsi="Courier New"/>
      </w:rPr>
    </w:lvl>
    <w:lvl w:ilvl="2">
      <w:numFmt w:val="bullet"/>
      <w:lvlText w:val=""/>
      <w:lvlJc w:val="left"/>
      <w:pPr>
        <w:ind w:left="1200" w:hanging="360"/>
      </w:pPr>
      <w:rPr>
        <w:rFonts w:ascii="Wingdings" w:hAnsi="Wingdings"/>
      </w:rPr>
    </w:lvl>
    <w:lvl w:ilvl="3">
      <w:numFmt w:val="bullet"/>
      <w:lvlText w:val=""/>
      <w:lvlJc w:val="left"/>
      <w:pPr>
        <w:ind w:left="1600" w:hanging="360"/>
      </w:pPr>
      <w:rPr>
        <w:rFonts w:ascii="Symbol" w:hAnsi="Symbol"/>
      </w:rPr>
    </w:lvl>
    <w:lvl w:ilvl="4">
      <w:numFmt w:val="bullet"/>
      <w:lvlText w:val="o"/>
      <w:lvlJc w:val="left"/>
      <w:pPr>
        <w:ind w:left="2000" w:hanging="360"/>
      </w:pPr>
      <w:rPr>
        <w:rFonts w:ascii="Courier New" w:hAnsi="Courier New"/>
      </w:rPr>
    </w:lvl>
    <w:lvl w:ilvl="5">
      <w:numFmt w:val="bullet"/>
      <w:lvlText w:val=""/>
      <w:lvlJc w:val="left"/>
      <w:pPr>
        <w:ind w:left="2400" w:hanging="360"/>
      </w:pPr>
      <w:rPr>
        <w:rFonts w:ascii="Wingdings" w:hAnsi="Wingdings"/>
      </w:rPr>
    </w:lvl>
    <w:lvl w:ilvl="6">
      <w:numFmt w:val="bullet"/>
      <w:lvlText w:val=""/>
      <w:lvlJc w:val="left"/>
      <w:pPr>
        <w:ind w:left="2800" w:hanging="360"/>
      </w:pPr>
      <w:rPr>
        <w:rFonts w:ascii="Symbol" w:hAnsi="Symbol"/>
      </w:rPr>
    </w:lvl>
    <w:lvl w:ilvl="7">
      <w:numFmt w:val="bullet"/>
      <w:lvlText w:val="o"/>
      <w:lvlJc w:val="left"/>
      <w:pPr>
        <w:ind w:left="3200" w:hanging="360"/>
      </w:pPr>
      <w:rPr>
        <w:rFonts w:ascii="Courier New" w:hAnsi="Courier New"/>
      </w:rPr>
    </w:lvl>
    <w:lvl w:ilvl="8">
      <w:start w:val="1"/>
      <w:numFmt w:val="decimal"/>
      <w:lvlText w:val="%9"/>
      <w:lvlJc w:val="left"/>
    </w:lvl>
  </w:abstractNum>
  <w:abstractNum w:abstractNumId="1" w15:restartNumberingAfterBreak="0">
    <w:nsid w:val="238F6E42"/>
    <w:multiLevelType w:val="multilevel"/>
    <w:tmpl w:val="3612E0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5062B0"/>
    <w:rsid w:val="005062B0"/>
    <w:rsid w:val="007E3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E9BED"/>
  <w15:docId w15:val="{CD53A851-CC63-44C9-BA57-BB488465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4"/>
        <w:szCs w:val="24"/>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Calibri" w:eastAsia="Times New Roman" w:hAnsi="Calibri" w:cs="Times New Roman"/>
      <w:sz w:val="22"/>
      <w:szCs w:val="22"/>
      <w:lang w:eastAsia="en-GB"/>
    </w:rPr>
  </w:style>
  <w:style w:type="paragraph" w:styleId="Heading1">
    <w:name w:val="heading 1"/>
    <w:basedOn w:val="Normal"/>
    <w:next w:val="Normal"/>
    <w:uiPriority w:val="9"/>
    <w:qFormat/>
    <w:pPr>
      <w:keepNext/>
      <w:keepLines/>
      <w:spacing w:before="480" w:after="0" w:line="276" w:lineRule="auto"/>
      <w:outlineLvl w:val="0"/>
    </w:pPr>
    <w:rPr>
      <w:rFonts w:ascii="Calibri Light" w:hAnsi="Calibri Light"/>
      <w:b/>
      <w:bCs/>
      <w:color w:val="2F5496"/>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NormalWeb">
    <w:name w:val="Normal (Web)"/>
    <w:basedOn w:val="Normal"/>
    <w:pPr>
      <w:spacing w:before="100" w:after="100" w:line="240" w:lineRule="auto"/>
    </w:pPr>
    <w:rPr>
      <w:rFonts w:eastAsia="Calibri" w:cs="Calibri"/>
    </w:rPr>
  </w:style>
  <w:style w:type="character" w:styleId="Hyperlink">
    <w:name w:val="Hyperlink"/>
    <w:basedOn w:val="DefaultParagraphFont"/>
    <w:rPr>
      <w:color w:val="0563C1"/>
      <w:u w:val="single"/>
    </w:rPr>
  </w:style>
  <w:style w:type="paragraph" w:styleId="FootnoteText">
    <w:name w:val="footnote text"/>
    <w:basedOn w:val="Normal"/>
    <w:pPr>
      <w:spacing w:after="0" w:line="240" w:lineRule="auto"/>
    </w:pPr>
    <w:rPr>
      <w:rFonts w:eastAsia="Calibri"/>
      <w:sz w:val="20"/>
      <w:szCs w:val="20"/>
      <w:lang w:eastAsia="en-US"/>
    </w:rPr>
  </w:style>
  <w:style w:type="character" w:customStyle="1" w:styleId="FootnoteTextChar">
    <w:name w:val="Footnote Text Char"/>
    <w:basedOn w:val="DefaultParagraphFont"/>
    <w:rPr>
      <w:rFonts w:ascii="Calibri" w:hAnsi="Calibri" w:cs="Times New Roman"/>
      <w:sz w:val="20"/>
      <w:szCs w:val="20"/>
    </w:rPr>
  </w:style>
  <w:style w:type="character" w:styleId="FootnoteReference">
    <w:name w:val="footnote reference"/>
    <w:basedOn w:val="DefaultParagraphFont"/>
    <w:rPr>
      <w:position w:val="0"/>
      <w:vertAlign w:val="superscript"/>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Calibri" w:eastAsia="Times New Roman" w:hAnsi="Calibri" w:cs="Times New Roman"/>
      <w:sz w:val="22"/>
      <w:szCs w:val="22"/>
      <w:lang w:eastAsia="en-GB"/>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Calibri" w:eastAsia="Times New Roman" w:hAnsi="Calibri" w:cs="Times New Roman"/>
      <w:sz w:val="22"/>
      <w:szCs w:val="22"/>
      <w:lang w:eastAsia="en-GB"/>
    </w:rPr>
  </w:style>
  <w:style w:type="character" w:customStyle="1" w:styleId="Heading1Char">
    <w:name w:val="Heading 1 Char"/>
    <w:basedOn w:val="DefaultParagraphFont"/>
    <w:rPr>
      <w:rFonts w:ascii="Calibri Light" w:eastAsia="Times New Roman" w:hAnsi="Calibri Light" w:cs="Times New Roman"/>
      <w:b/>
      <w:bCs/>
      <w:color w:val="2F5496"/>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ngland.nhs.uk/long-read/workforce-disability-equality-standard-2023-data-analysis-report-for-nhs-trus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1944</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DAMREE-RALPH Yasmin</dc:creator>
  <dc:description/>
  <cp:lastModifiedBy>DAMREE-RALPH Yasmin</cp:lastModifiedBy>
  <cp:revision>2</cp:revision>
  <dcterms:created xsi:type="dcterms:W3CDTF">2026-02-08T16:09:00Z</dcterms:created>
  <dcterms:modified xsi:type="dcterms:W3CDTF">2026-02-08T16:09:00Z</dcterms:modified>
</cp:coreProperties>
</file>