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DB119" w14:textId="1CB98D09" w:rsidR="004F2095" w:rsidRPr="00A755E7" w:rsidRDefault="00F61B88" w:rsidP="004F2095">
      <w:pPr>
        <w:pBdr>
          <w:bottom w:val="single" w:sz="12" w:space="1" w:color="auto"/>
        </w:pBdr>
        <w:spacing w:after="0" w:line="240" w:lineRule="auto"/>
        <w:rPr>
          <w:rFonts w:ascii="Arial" w:hAnsi="Arial" w:cs="Arial"/>
          <w:b/>
          <w:sz w:val="40"/>
          <w:szCs w:val="40"/>
        </w:rPr>
      </w:pPr>
      <w:r w:rsidRPr="00A755E7">
        <w:rPr>
          <w:rFonts w:ascii="Arial" w:hAnsi="Arial" w:cs="Arial"/>
          <w:b/>
          <w:sz w:val="40"/>
          <w:szCs w:val="40"/>
        </w:rPr>
        <w:t>COMMITTEE</w:t>
      </w:r>
      <w:r w:rsidR="00A755E7">
        <w:rPr>
          <w:rFonts w:ascii="Arial" w:hAnsi="Arial" w:cs="Arial"/>
          <w:b/>
          <w:sz w:val="40"/>
          <w:szCs w:val="40"/>
        </w:rPr>
        <w:t xml:space="preserve"> MEETING </w:t>
      </w:r>
    </w:p>
    <w:p w14:paraId="072A87BA" w14:textId="77777777" w:rsidR="004F2095" w:rsidRDefault="004F2095" w:rsidP="00E03CBA">
      <w:pPr>
        <w:pBdr>
          <w:bottom w:val="single" w:sz="12" w:space="1" w:color="auto"/>
        </w:pBdr>
        <w:spacing w:after="0" w:line="240" w:lineRule="auto"/>
        <w:jc w:val="center"/>
        <w:rPr>
          <w:rFonts w:ascii="Arial" w:hAnsi="Arial" w:cs="Arial"/>
          <w:b/>
          <w:sz w:val="28"/>
          <w:szCs w:val="24"/>
        </w:rPr>
      </w:pPr>
    </w:p>
    <w:p w14:paraId="4307EF06" w14:textId="2A2FCF25" w:rsidR="00E84B16" w:rsidRDefault="00E84B16" w:rsidP="00E03CBA">
      <w:pPr>
        <w:pBdr>
          <w:bottom w:val="single" w:sz="12" w:space="1" w:color="auto"/>
        </w:pBdr>
        <w:spacing w:after="0" w:line="240" w:lineRule="auto"/>
        <w:jc w:val="center"/>
        <w:rPr>
          <w:rFonts w:ascii="Arial" w:hAnsi="Arial" w:cs="Arial"/>
          <w:b/>
          <w:sz w:val="28"/>
          <w:szCs w:val="24"/>
        </w:rPr>
      </w:pPr>
      <w:r>
        <w:rPr>
          <w:rFonts w:ascii="Arial" w:hAnsi="Arial" w:cs="Arial"/>
          <w:b/>
          <w:sz w:val="28"/>
          <w:szCs w:val="24"/>
        </w:rPr>
        <w:t>Meeting details</w:t>
      </w:r>
    </w:p>
    <w:p w14:paraId="32F643E6" w14:textId="77777777" w:rsidR="0075717E" w:rsidRDefault="0075717E" w:rsidP="00E03CBA">
      <w:pPr>
        <w:tabs>
          <w:tab w:val="left" w:pos="3402"/>
        </w:tabs>
        <w:spacing w:after="0" w:line="240" w:lineRule="auto"/>
        <w:rPr>
          <w:rFonts w:ascii="Arial" w:hAnsi="Arial" w:cs="Arial"/>
          <w:b/>
          <w:sz w:val="24"/>
          <w:szCs w:val="24"/>
        </w:rPr>
      </w:pPr>
    </w:p>
    <w:p w14:paraId="22699AD0" w14:textId="440E7790" w:rsidR="00E84B16" w:rsidRPr="00A755E7" w:rsidRDefault="00E84B16" w:rsidP="00E03CBA">
      <w:pPr>
        <w:tabs>
          <w:tab w:val="left" w:pos="3402"/>
        </w:tabs>
        <w:spacing w:after="0" w:line="240" w:lineRule="auto"/>
        <w:rPr>
          <w:rFonts w:ascii="Arial" w:hAnsi="Arial" w:cs="Arial"/>
          <w:sz w:val="24"/>
          <w:szCs w:val="24"/>
        </w:rPr>
      </w:pPr>
      <w:r w:rsidRPr="00A755E7">
        <w:rPr>
          <w:rFonts w:ascii="Arial" w:hAnsi="Arial" w:cs="Arial"/>
          <w:b/>
          <w:sz w:val="24"/>
          <w:szCs w:val="24"/>
        </w:rPr>
        <w:t>Committee:</w:t>
      </w:r>
      <w:r w:rsidRPr="00A755E7">
        <w:rPr>
          <w:rFonts w:ascii="Arial" w:hAnsi="Arial" w:cs="Arial"/>
          <w:b/>
          <w:sz w:val="24"/>
          <w:szCs w:val="24"/>
        </w:rPr>
        <w:tab/>
      </w:r>
      <w:r w:rsidR="00F61B88" w:rsidRPr="00A755E7">
        <w:rPr>
          <w:rFonts w:ascii="Arial" w:hAnsi="Arial" w:cs="Arial"/>
          <w:sz w:val="24"/>
          <w:szCs w:val="24"/>
        </w:rPr>
        <w:t>Quality Committee</w:t>
      </w:r>
    </w:p>
    <w:p w14:paraId="4864EB0A" w14:textId="11CC4DC4" w:rsidR="00E84B16" w:rsidRPr="00A755E7" w:rsidRDefault="00E84B16" w:rsidP="00E03CBA">
      <w:pPr>
        <w:tabs>
          <w:tab w:val="left" w:pos="3402"/>
        </w:tabs>
        <w:spacing w:after="0" w:line="240" w:lineRule="auto"/>
        <w:rPr>
          <w:rFonts w:ascii="Arial" w:hAnsi="Arial" w:cs="Arial"/>
          <w:sz w:val="24"/>
          <w:szCs w:val="24"/>
        </w:rPr>
      </w:pPr>
      <w:r w:rsidRPr="00A755E7">
        <w:rPr>
          <w:rFonts w:ascii="Arial" w:hAnsi="Arial" w:cs="Arial"/>
          <w:b/>
          <w:sz w:val="24"/>
          <w:szCs w:val="24"/>
        </w:rPr>
        <w:t xml:space="preserve">Date of Meeting: </w:t>
      </w:r>
      <w:r w:rsidRPr="00A755E7">
        <w:rPr>
          <w:rFonts w:ascii="Arial" w:hAnsi="Arial" w:cs="Arial"/>
          <w:b/>
          <w:sz w:val="24"/>
          <w:szCs w:val="24"/>
        </w:rPr>
        <w:tab/>
      </w:r>
      <w:r w:rsidR="00F61B88" w:rsidRPr="00A755E7">
        <w:rPr>
          <w:rFonts w:ascii="Arial" w:hAnsi="Arial" w:cs="Arial"/>
          <w:sz w:val="24"/>
          <w:szCs w:val="24"/>
        </w:rPr>
        <w:t>21</w:t>
      </w:r>
      <w:r w:rsidR="00F61B88" w:rsidRPr="00A755E7">
        <w:rPr>
          <w:rFonts w:ascii="Arial" w:hAnsi="Arial" w:cs="Arial"/>
          <w:sz w:val="24"/>
          <w:szCs w:val="24"/>
          <w:vertAlign w:val="superscript"/>
        </w:rPr>
        <w:t>st</w:t>
      </w:r>
      <w:r w:rsidR="00F61B88" w:rsidRPr="00A755E7">
        <w:rPr>
          <w:rFonts w:ascii="Arial" w:hAnsi="Arial" w:cs="Arial"/>
          <w:sz w:val="24"/>
          <w:szCs w:val="24"/>
        </w:rPr>
        <w:t xml:space="preserve"> </w:t>
      </w:r>
      <w:r w:rsidR="000B217F" w:rsidRPr="00A755E7">
        <w:rPr>
          <w:rFonts w:ascii="Arial" w:hAnsi="Arial" w:cs="Arial"/>
          <w:sz w:val="24"/>
          <w:szCs w:val="24"/>
        </w:rPr>
        <w:t xml:space="preserve">July </w:t>
      </w:r>
      <w:r w:rsidR="00C6043E" w:rsidRPr="00A755E7">
        <w:rPr>
          <w:rFonts w:ascii="Arial" w:hAnsi="Arial" w:cs="Arial"/>
          <w:sz w:val="24"/>
          <w:szCs w:val="24"/>
        </w:rPr>
        <w:t>2025</w:t>
      </w:r>
    </w:p>
    <w:p w14:paraId="6299B16D" w14:textId="268CE99D" w:rsidR="00E84B16" w:rsidRPr="00A755E7" w:rsidRDefault="00E84B16" w:rsidP="00E03CBA">
      <w:pPr>
        <w:tabs>
          <w:tab w:val="left" w:pos="3402"/>
        </w:tabs>
        <w:spacing w:after="0" w:line="240" w:lineRule="auto"/>
        <w:rPr>
          <w:rFonts w:ascii="Arial" w:hAnsi="Arial" w:cs="Arial"/>
          <w:sz w:val="24"/>
          <w:szCs w:val="24"/>
        </w:rPr>
      </w:pPr>
      <w:r w:rsidRPr="00A755E7">
        <w:rPr>
          <w:rFonts w:ascii="Arial" w:hAnsi="Arial" w:cs="Arial"/>
          <w:b/>
          <w:sz w:val="24"/>
          <w:szCs w:val="24"/>
        </w:rPr>
        <w:t>Title of Paper:</w:t>
      </w:r>
      <w:r w:rsidRPr="00A755E7">
        <w:rPr>
          <w:rFonts w:ascii="Arial" w:hAnsi="Arial" w:cs="Arial"/>
          <w:b/>
          <w:sz w:val="24"/>
          <w:szCs w:val="24"/>
        </w:rPr>
        <w:tab/>
      </w:r>
      <w:r w:rsidRPr="00A755E7">
        <w:rPr>
          <w:rFonts w:ascii="Arial" w:hAnsi="Arial" w:cs="Arial"/>
          <w:sz w:val="24"/>
          <w:szCs w:val="24"/>
        </w:rPr>
        <w:t>Quart</w:t>
      </w:r>
      <w:r w:rsidR="00407F5E" w:rsidRPr="00A755E7">
        <w:rPr>
          <w:rFonts w:ascii="Arial" w:hAnsi="Arial" w:cs="Arial"/>
          <w:sz w:val="24"/>
          <w:szCs w:val="24"/>
        </w:rPr>
        <w:t xml:space="preserve">erly Mortality Review (Quarter </w:t>
      </w:r>
      <w:r w:rsidR="000B217F" w:rsidRPr="00A755E7">
        <w:rPr>
          <w:rFonts w:ascii="Arial" w:hAnsi="Arial" w:cs="Arial"/>
          <w:sz w:val="24"/>
          <w:szCs w:val="24"/>
        </w:rPr>
        <w:t>1</w:t>
      </w:r>
      <w:r w:rsidR="00261ACE" w:rsidRPr="00A755E7">
        <w:rPr>
          <w:rFonts w:ascii="Arial" w:hAnsi="Arial" w:cs="Arial"/>
          <w:sz w:val="24"/>
          <w:szCs w:val="24"/>
        </w:rPr>
        <w:t xml:space="preserve"> </w:t>
      </w:r>
      <w:r w:rsidR="00027FFD" w:rsidRPr="00A755E7">
        <w:rPr>
          <w:rFonts w:ascii="Arial" w:hAnsi="Arial" w:cs="Arial"/>
          <w:sz w:val="24"/>
          <w:szCs w:val="24"/>
        </w:rPr>
        <w:t>20</w:t>
      </w:r>
      <w:r w:rsidR="000B217F" w:rsidRPr="00A755E7">
        <w:rPr>
          <w:rFonts w:ascii="Arial" w:hAnsi="Arial" w:cs="Arial"/>
          <w:sz w:val="24"/>
          <w:szCs w:val="24"/>
        </w:rPr>
        <w:t>2</w:t>
      </w:r>
      <w:r w:rsidR="00BF34CF" w:rsidRPr="00A755E7">
        <w:rPr>
          <w:rFonts w:ascii="Arial" w:hAnsi="Arial" w:cs="Arial"/>
          <w:sz w:val="24"/>
          <w:szCs w:val="24"/>
        </w:rPr>
        <w:t>5</w:t>
      </w:r>
      <w:r w:rsidR="00027FFD" w:rsidRPr="00A755E7">
        <w:rPr>
          <w:rFonts w:ascii="Arial" w:hAnsi="Arial" w:cs="Arial"/>
          <w:sz w:val="24"/>
          <w:szCs w:val="24"/>
        </w:rPr>
        <w:t>/2</w:t>
      </w:r>
      <w:r w:rsidR="00BF34CF" w:rsidRPr="00A755E7">
        <w:rPr>
          <w:rFonts w:ascii="Arial" w:hAnsi="Arial" w:cs="Arial"/>
          <w:sz w:val="24"/>
          <w:szCs w:val="24"/>
        </w:rPr>
        <w:t>6</w:t>
      </w:r>
      <w:r w:rsidRPr="00A755E7">
        <w:rPr>
          <w:rFonts w:ascii="Arial" w:hAnsi="Arial" w:cs="Arial"/>
          <w:sz w:val="24"/>
          <w:szCs w:val="24"/>
        </w:rPr>
        <w:t>)</w:t>
      </w:r>
    </w:p>
    <w:p w14:paraId="3D3897C9" w14:textId="77777777" w:rsidR="00E84B16" w:rsidRPr="00A755E7" w:rsidRDefault="00E84B16" w:rsidP="00E03CBA">
      <w:pPr>
        <w:tabs>
          <w:tab w:val="left" w:pos="3402"/>
        </w:tabs>
        <w:spacing w:after="0" w:line="240" w:lineRule="auto"/>
        <w:rPr>
          <w:rFonts w:ascii="Arial" w:hAnsi="Arial" w:cs="Arial"/>
          <w:b/>
          <w:sz w:val="24"/>
          <w:szCs w:val="24"/>
        </w:rPr>
      </w:pPr>
      <w:r w:rsidRPr="00A755E7">
        <w:rPr>
          <w:rFonts w:ascii="Arial" w:hAnsi="Arial" w:cs="Arial"/>
          <w:b/>
          <w:sz w:val="24"/>
          <w:szCs w:val="24"/>
        </w:rPr>
        <w:t>Author:</w:t>
      </w:r>
      <w:r w:rsidRPr="00A755E7">
        <w:rPr>
          <w:rFonts w:ascii="Arial" w:hAnsi="Arial" w:cs="Arial"/>
          <w:b/>
          <w:sz w:val="24"/>
          <w:szCs w:val="24"/>
        </w:rPr>
        <w:tab/>
      </w:r>
      <w:r w:rsidRPr="00A755E7">
        <w:rPr>
          <w:rFonts w:ascii="Arial" w:hAnsi="Arial" w:cs="Arial"/>
          <w:sz w:val="24"/>
          <w:szCs w:val="24"/>
        </w:rPr>
        <w:t xml:space="preserve">Frances </w:t>
      </w:r>
      <w:proofErr w:type="spellStart"/>
      <w:r w:rsidRPr="00A755E7">
        <w:rPr>
          <w:rFonts w:ascii="Arial" w:hAnsi="Arial" w:cs="Arial"/>
          <w:sz w:val="24"/>
          <w:szCs w:val="24"/>
        </w:rPr>
        <w:t>Lowrey</w:t>
      </w:r>
      <w:proofErr w:type="spellEnd"/>
      <w:r w:rsidR="00407F5E" w:rsidRPr="00A755E7">
        <w:rPr>
          <w:rFonts w:ascii="Arial" w:hAnsi="Arial" w:cs="Arial"/>
          <w:sz w:val="24"/>
          <w:szCs w:val="24"/>
        </w:rPr>
        <w:t>, Mortality Review Manager</w:t>
      </w:r>
    </w:p>
    <w:p w14:paraId="3F23D728" w14:textId="2F76B7CF" w:rsidR="00E84B16" w:rsidRPr="00A755E7" w:rsidRDefault="00E84B16" w:rsidP="00E03CBA">
      <w:pPr>
        <w:tabs>
          <w:tab w:val="left" w:pos="3402"/>
        </w:tabs>
        <w:spacing w:after="0" w:line="240" w:lineRule="auto"/>
        <w:rPr>
          <w:rFonts w:ascii="Arial" w:hAnsi="Arial" w:cs="Arial"/>
          <w:sz w:val="24"/>
          <w:szCs w:val="24"/>
        </w:rPr>
      </w:pPr>
      <w:r w:rsidRPr="00A755E7">
        <w:rPr>
          <w:rFonts w:ascii="Arial" w:hAnsi="Arial" w:cs="Arial"/>
          <w:b/>
          <w:sz w:val="24"/>
          <w:szCs w:val="24"/>
        </w:rPr>
        <w:t>Executive Director:</w:t>
      </w:r>
      <w:r w:rsidRPr="00A755E7">
        <w:rPr>
          <w:rFonts w:ascii="Arial" w:hAnsi="Arial" w:cs="Arial"/>
          <w:b/>
          <w:sz w:val="24"/>
          <w:szCs w:val="24"/>
        </w:rPr>
        <w:tab/>
      </w:r>
      <w:r w:rsidR="00784229" w:rsidRPr="00A755E7">
        <w:rPr>
          <w:rFonts w:ascii="Arial" w:hAnsi="Arial" w:cs="Arial"/>
          <w:sz w:val="24"/>
          <w:szCs w:val="24"/>
        </w:rPr>
        <w:t>Andy Cruickshank, Chief Nurse</w:t>
      </w:r>
    </w:p>
    <w:p w14:paraId="78763DF0" w14:textId="77777777" w:rsidR="00F26353" w:rsidRPr="00F26353" w:rsidRDefault="00F26353" w:rsidP="00F26353">
      <w:pPr>
        <w:pStyle w:val="ListNumber2"/>
        <w:numPr>
          <w:ilvl w:val="0"/>
          <w:numId w:val="0"/>
        </w:numPr>
        <w:ind w:left="643"/>
      </w:pPr>
    </w:p>
    <w:p w14:paraId="5D01EAE7" w14:textId="77777777" w:rsidR="00E84B16" w:rsidRDefault="00E84B16" w:rsidP="00E03CBA">
      <w:pPr>
        <w:pBdr>
          <w:bottom w:val="single" w:sz="12" w:space="1" w:color="auto"/>
        </w:pBdr>
        <w:spacing w:after="0" w:line="240" w:lineRule="auto"/>
        <w:jc w:val="center"/>
        <w:rPr>
          <w:rFonts w:ascii="Arial" w:hAnsi="Arial" w:cs="Arial"/>
          <w:b/>
          <w:sz w:val="28"/>
          <w:szCs w:val="24"/>
        </w:rPr>
      </w:pPr>
      <w:r>
        <w:rPr>
          <w:rFonts w:ascii="Arial" w:hAnsi="Arial" w:cs="Arial"/>
          <w:b/>
          <w:sz w:val="28"/>
          <w:szCs w:val="24"/>
        </w:rPr>
        <w:t>Purpose of Paper</w:t>
      </w:r>
    </w:p>
    <w:p w14:paraId="29535437" w14:textId="77777777" w:rsidR="0075717E" w:rsidRDefault="0075717E" w:rsidP="00E03CBA">
      <w:pPr>
        <w:tabs>
          <w:tab w:val="left" w:pos="3402"/>
        </w:tabs>
        <w:spacing w:after="0" w:line="240" w:lineRule="auto"/>
        <w:rPr>
          <w:rFonts w:ascii="Arial" w:hAnsi="Arial" w:cs="Arial"/>
          <w:b/>
          <w:sz w:val="24"/>
          <w:szCs w:val="24"/>
        </w:rPr>
      </w:pPr>
    </w:p>
    <w:p w14:paraId="2D9D83CD" w14:textId="2F991C49" w:rsidR="00E84B16" w:rsidRPr="00A755E7" w:rsidRDefault="00E84B16" w:rsidP="00E03CBA">
      <w:pPr>
        <w:tabs>
          <w:tab w:val="left" w:pos="3402"/>
        </w:tabs>
        <w:spacing w:after="0" w:line="240" w:lineRule="auto"/>
        <w:rPr>
          <w:rFonts w:ascii="Arial" w:hAnsi="Arial" w:cs="Arial"/>
          <w:b/>
          <w:sz w:val="24"/>
          <w:szCs w:val="24"/>
        </w:rPr>
      </w:pPr>
      <w:r w:rsidRPr="00A755E7">
        <w:rPr>
          <w:rFonts w:ascii="Arial" w:hAnsi="Arial" w:cs="Arial"/>
          <w:b/>
          <w:sz w:val="24"/>
          <w:szCs w:val="24"/>
        </w:rPr>
        <w:t>Purpose:</w:t>
      </w:r>
      <w:r w:rsidRPr="00A755E7">
        <w:rPr>
          <w:rFonts w:ascii="Arial" w:hAnsi="Arial" w:cs="Arial"/>
          <w:b/>
          <w:sz w:val="24"/>
          <w:szCs w:val="24"/>
        </w:rPr>
        <w:tab/>
      </w:r>
      <w:r w:rsidR="00FB2FB2" w:rsidRPr="00A755E7">
        <w:rPr>
          <w:rFonts w:ascii="Arial" w:hAnsi="Arial" w:cs="Arial"/>
          <w:sz w:val="24"/>
          <w:szCs w:val="24"/>
        </w:rPr>
        <w:t>Approval</w:t>
      </w:r>
    </w:p>
    <w:p w14:paraId="0ED607D2" w14:textId="77777777" w:rsidR="00E84B16" w:rsidRPr="00A755E7" w:rsidRDefault="00E84B16" w:rsidP="00E03CBA">
      <w:pPr>
        <w:tabs>
          <w:tab w:val="left" w:pos="3402"/>
        </w:tabs>
        <w:spacing w:after="0" w:line="240" w:lineRule="auto"/>
        <w:ind w:left="3402" w:hanging="3402"/>
        <w:rPr>
          <w:rFonts w:ascii="Arial" w:hAnsi="Arial" w:cs="Arial"/>
          <w:sz w:val="24"/>
          <w:szCs w:val="24"/>
        </w:rPr>
      </w:pPr>
      <w:r w:rsidRPr="00A755E7">
        <w:rPr>
          <w:rFonts w:ascii="Arial" w:hAnsi="Arial" w:cs="Arial"/>
          <w:b/>
          <w:sz w:val="24"/>
          <w:szCs w:val="24"/>
        </w:rPr>
        <w:t>Submission to Committee:</w:t>
      </w:r>
      <w:r w:rsidRPr="00A755E7">
        <w:rPr>
          <w:rFonts w:ascii="Arial" w:hAnsi="Arial" w:cs="Arial"/>
          <w:b/>
          <w:sz w:val="24"/>
          <w:szCs w:val="24"/>
        </w:rPr>
        <w:tab/>
      </w:r>
      <w:r w:rsidRPr="00A755E7">
        <w:rPr>
          <w:rFonts w:ascii="Arial" w:hAnsi="Arial" w:cs="Arial"/>
          <w:sz w:val="24"/>
          <w:szCs w:val="24"/>
        </w:rPr>
        <w:t xml:space="preserve">Regulatory requirement </w:t>
      </w:r>
      <w:r w:rsidR="00B10A4B" w:rsidRPr="00A755E7">
        <w:rPr>
          <w:rFonts w:ascii="Arial" w:hAnsi="Arial" w:cs="Arial"/>
          <w:sz w:val="24"/>
          <w:szCs w:val="24"/>
        </w:rPr>
        <w:t xml:space="preserve">for </w:t>
      </w:r>
      <w:r w:rsidRPr="00A755E7">
        <w:rPr>
          <w:rFonts w:ascii="Arial" w:hAnsi="Arial" w:cs="Arial"/>
          <w:sz w:val="24"/>
          <w:szCs w:val="24"/>
        </w:rPr>
        <w:t>each financial quarter</w:t>
      </w:r>
    </w:p>
    <w:p w14:paraId="43F6CD8B" w14:textId="77777777" w:rsidR="00E03CBA" w:rsidRPr="00E03CBA" w:rsidRDefault="00E03CBA" w:rsidP="00E03CBA">
      <w:pPr>
        <w:pStyle w:val="ListNumber2"/>
        <w:numPr>
          <w:ilvl w:val="0"/>
          <w:numId w:val="0"/>
        </w:numPr>
        <w:ind w:left="643"/>
      </w:pPr>
    </w:p>
    <w:p w14:paraId="6E38278F" w14:textId="77777777" w:rsidR="00E84B16" w:rsidRDefault="00E84B16" w:rsidP="00E03CBA">
      <w:pPr>
        <w:pBdr>
          <w:bottom w:val="single" w:sz="12" w:space="1" w:color="auto"/>
        </w:pBdr>
        <w:spacing w:after="0" w:line="240" w:lineRule="auto"/>
        <w:jc w:val="center"/>
        <w:rPr>
          <w:rFonts w:ascii="Arial" w:hAnsi="Arial" w:cs="Arial"/>
          <w:b/>
          <w:sz w:val="28"/>
          <w:szCs w:val="24"/>
        </w:rPr>
      </w:pPr>
      <w:r>
        <w:rPr>
          <w:rFonts w:ascii="Arial" w:hAnsi="Arial" w:cs="Arial"/>
          <w:b/>
          <w:sz w:val="28"/>
          <w:szCs w:val="24"/>
        </w:rPr>
        <w:t>Overview of Paper</w:t>
      </w:r>
    </w:p>
    <w:p w14:paraId="59B19D5F" w14:textId="77777777" w:rsidR="0075717E" w:rsidRDefault="0075717E" w:rsidP="00E03CBA">
      <w:pPr>
        <w:spacing w:after="0" w:line="240" w:lineRule="auto"/>
        <w:rPr>
          <w:rFonts w:ascii="Arial" w:hAnsi="Arial" w:cs="Arial"/>
          <w:szCs w:val="24"/>
        </w:rPr>
      </w:pPr>
    </w:p>
    <w:p w14:paraId="52F0DAA2" w14:textId="34281955" w:rsidR="00A05A49" w:rsidRPr="00A755E7" w:rsidRDefault="00E84B16" w:rsidP="00E03CBA">
      <w:pPr>
        <w:spacing w:after="0" w:line="240" w:lineRule="auto"/>
        <w:rPr>
          <w:rFonts w:ascii="Arial" w:hAnsi="Arial" w:cs="Arial"/>
          <w:sz w:val="24"/>
          <w:szCs w:val="24"/>
        </w:rPr>
      </w:pPr>
      <w:r w:rsidRPr="00A755E7">
        <w:rPr>
          <w:rFonts w:ascii="Arial" w:hAnsi="Arial" w:cs="Arial"/>
          <w:sz w:val="24"/>
          <w:szCs w:val="24"/>
        </w:rPr>
        <w:t xml:space="preserve">The Mortality Review report </w:t>
      </w:r>
      <w:r w:rsidR="0022093E" w:rsidRPr="00A755E7">
        <w:rPr>
          <w:rFonts w:ascii="Arial" w:hAnsi="Arial" w:cs="Arial"/>
          <w:sz w:val="24"/>
          <w:szCs w:val="24"/>
        </w:rPr>
        <w:t>includes</w:t>
      </w:r>
      <w:r w:rsidR="00334AC8" w:rsidRPr="00A755E7">
        <w:rPr>
          <w:rFonts w:ascii="Arial" w:hAnsi="Arial" w:cs="Arial"/>
          <w:sz w:val="24"/>
          <w:szCs w:val="24"/>
        </w:rPr>
        <w:t xml:space="preserve"> patient mortality incident</w:t>
      </w:r>
      <w:r w:rsidR="001C0014" w:rsidRPr="00A755E7">
        <w:rPr>
          <w:rFonts w:ascii="Arial" w:hAnsi="Arial" w:cs="Arial"/>
          <w:sz w:val="24"/>
          <w:szCs w:val="24"/>
        </w:rPr>
        <w:t>s</w:t>
      </w:r>
      <w:r w:rsidRPr="00A755E7">
        <w:rPr>
          <w:rFonts w:ascii="Arial" w:hAnsi="Arial" w:cs="Arial"/>
          <w:sz w:val="24"/>
          <w:szCs w:val="24"/>
        </w:rPr>
        <w:t xml:space="preserve"> reported </w:t>
      </w:r>
      <w:r w:rsidR="00027FFD" w:rsidRPr="00A755E7">
        <w:rPr>
          <w:rFonts w:ascii="Arial" w:hAnsi="Arial" w:cs="Arial"/>
          <w:sz w:val="24"/>
          <w:szCs w:val="24"/>
        </w:rPr>
        <w:t>in Q</w:t>
      </w:r>
      <w:r w:rsidR="00BF34CF" w:rsidRPr="00A755E7">
        <w:rPr>
          <w:rFonts w:ascii="Arial" w:hAnsi="Arial" w:cs="Arial"/>
          <w:sz w:val="24"/>
          <w:szCs w:val="24"/>
        </w:rPr>
        <w:t>1</w:t>
      </w:r>
      <w:r w:rsidR="00027FFD" w:rsidRPr="00A755E7">
        <w:rPr>
          <w:rFonts w:ascii="Arial" w:hAnsi="Arial" w:cs="Arial"/>
          <w:sz w:val="24"/>
          <w:szCs w:val="24"/>
        </w:rPr>
        <w:t>, 202</w:t>
      </w:r>
      <w:r w:rsidR="00BF34CF" w:rsidRPr="00A755E7">
        <w:rPr>
          <w:rFonts w:ascii="Arial" w:hAnsi="Arial" w:cs="Arial"/>
          <w:sz w:val="24"/>
          <w:szCs w:val="24"/>
        </w:rPr>
        <w:t>5</w:t>
      </w:r>
      <w:r w:rsidR="00027FFD" w:rsidRPr="00A755E7">
        <w:rPr>
          <w:rFonts w:ascii="Arial" w:hAnsi="Arial" w:cs="Arial"/>
          <w:sz w:val="24"/>
          <w:szCs w:val="24"/>
        </w:rPr>
        <w:t>/2</w:t>
      </w:r>
      <w:r w:rsidR="00BF34CF" w:rsidRPr="00A755E7">
        <w:rPr>
          <w:rFonts w:ascii="Arial" w:hAnsi="Arial" w:cs="Arial"/>
          <w:sz w:val="24"/>
          <w:szCs w:val="24"/>
        </w:rPr>
        <w:t>6</w:t>
      </w:r>
      <w:r w:rsidR="00233EA2" w:rsidRPr="00A755E7">
        <w:rPr>
          <w:rFonts w:ascii="Arial" w:hAnsi="Arial" w:cs="Arial"/>
          <w:sz w:val="24"/>
          <w:szCs w:val="24"/>
        </w:rPr>
        <w:t>, comparing to previous quarters.</w:t>
      </w:r>
      <w:r w:rsidR="00027FFD" w:rsidRPr="00A755E7">
        <w:rPr>
          <w:rFonts w:ascii="Arial" w:hAnsi="Arial" w:cs="Arial"/>
          <w:sz w:val="24"/>
          <w:szCs w:val="24"/>
        </w:rPr>
        <w:t xml:space="preserve"> </w:t>
      </w:r>
      <w:r w:rsidR="0022093E" w:rsidRPr="00A755E7">
        <w:rPr>
          <w:rFonts w:ascii="Arial" w:hAnsi="Arial" w:cs="Arial"/>
          <w:sz w:val="24"/>
          <w:szCs w:val="24"/>
        </w:rPr>
        <w:t>The data includes natural causes and unexpected deaths</w:t>
      </w:r>
      <w:r w:rsidR="009630CD" w:rsidRPr="00A755E7">
        <w:rPr>
          <w:rFonts w:ascii="Arial" w:hAnsi="Arial" w:cs="Arial"/>
          <w:sz w:val="24"/>
          <w:szCs w:val="24"/>
        </w:rPr>
        <w:t>, including suspected suicides.</w:t>
      </w:r>
    </w:p>
    <w:p w14:paraId="58DB88E1" w14:textId="3187665B" w:rsidR="004869B9" w:rsidRPr="00A755E7" w:rsidRDefault="004869B9" w:rsidP="004869B9">
      <w:pPr>
        <w:pStyle w:val="ListNumber2"/>
        <w:numPr>
          <w:ilvl w:val="0"/>
          <w:numId w:val="0"/>
        </w:numPr>
        <w:rPr>
          <w:sz w:val="24"/>
          <w:szCs w:val="24"/>
        </w:rPr>
      </w:pPr>
    </w:p>
    <w:p w14:paraId="326E87AD" w14:textId="5E5252F0" w:rsidR="00833AD1" w:rsidRPr="00A755E7" w:rsidRDefault="00833AD1" w:rsidP="004869B9">
      <w:pPr>
        <w:pStyle w:val="ListNumber2"/>
        <w:numPr>
          <w:ilvl w:val="0"/>
          <w:numId w:val="0"/>
        </w:numPr>
        <w:rPr>
          <w:rFonts w:ascii="Arial" w:hAnsi="Arial" w:cs="Arial"/>
          <w:sz w:val="24"/>
          <w:szCs w:val="24"/>
        </w:rPr>
      </w:pPr>
      <w:r w:rsidRPr="00A755E7">
        <w:rPr>
          <w:rFonts w:ascii="Arial" w:hAnsi="Arial" w:cs="Arial"/>
          <w:sz w:val="24"/>
          <w:szCs w:val="24"/>
        </w:rPr>
        <w:t xml:space="preserve">Mortality data is reviewed monthly and presented at the Mortality Review Group for discussion. Actions are assigned to members when required. </w:t>
      </w:r>
    </w:p>
    <w:p w14:paraId="011109F6" w14:textId="77777777" w:rsidR="00610542" w:rsidRPr="00E03CBA" w:rsidRDefault="00610542" w:rsidP="0022093E">
      <w:pPr>
        <w:pStyle w:val="ListNumber2"/>
        <w:numPr>
          <w:ilvl w:val="0"/>
          <w:numId w:val="0"/>
        </w:numPr>
      </w:pPr>
    </w:p>
    <w:p w14:paraId="59CB00D5" w14:textId="7889D37F" w:rsidR="005017AE" w:rsidRPr="00722F80" w:rsidRDefault="00E84B16" w:rsidP="00E03CBA">
      <w:pPr>
        <w:pBdr>
          <w:bottom w:val="single" w:sz="12" w:space="1" w:color="auto"/>
        </w:pBdr>
        <w:spacing w:after="0" w:line="240" w:lineRule="auto"/>
        <w:jc w:val="center"/>
        <w:rPr>
          <w:rFonts w:ascii="Arial" w:hAnsi="Arial" w:cs="Arial"/>
          <w:sz w:val="32"/>
          <w:szCs w:val="28"/>
        </w:rPr>
      </w:pPr>
      <w:r>
        <w:rPr>
          <w:rFonts w:ascii="Arial" w:hAnsi="Arial" w:cs="Arial"/>
          <w:b/>
          <w:sz w:val="28"/>
          <w:szCs w:val="24"/>
        </w:rPr>
        <w:t xml:space="preserve">Issues to bring to </w:t>
      </w:r>
      <w:r w:rsidR="003E090A">
        <w:rPr>
          <w:rFonts w:ascii="Arial" w:hAnsi="Arial" w:cs="Arial"/>
          <w:b/>
          <w:sz w:val="28"/>
          <w:szCs w:val="24"/>
        </w:rPr>
        <w:t xml:space="preserve">the committees </w:t>
      </w:r>
      <w:r>
        <w:rPr>
          <w:rFonts w:ascii="Arial" w:hAnsi="Arial" w:cs="Arial"/>
          <w:b/>
          <w:sz w:val="28"/>
          <w:szCs w:val="24"/>
        </w:rPr>
        <w:t>attention</w:t>
      </w:r>
    </w:p>
    <w:p w14:paraId="016B7B6E" w14:textId="77777777" w:rsidR="004F4B13" w:rsidRPr="004869B9" w:rsidRDefault="004F4B13" w:rsidP="00E679D5">
      <w:pPr>
        <w:pStyle w:val="NoSpacing"/>
        <w:rPr>
          <w:rFonts w:ascii="Arial" w:hAnsi="Arial" w:cs="Arial"/>
          <w:highlight w:val="yellow"/>
        </w:rPr>
      </w:pPr>
    </w:p>
    <w:p w14:paraId="53A2C2A1" w14:textId="26118809" w:rsidR="00D24C7F" w:rsidRDefault="00D24C7F" w:rsidP="00D24C7F">
      <w:pPr>
        <w:pStyle w:val="NoSpacing"/>
        <w:rPr>
          <w:rFonts w:ascii="Arial" w:hAnsi="Arial" w:cs="Arial"/>
        </w:rPr>
      </w:pPr>
    </w:p>
    <w:p w14:paraId="3394CB90" w14:textId="6E160792" w:rsidR="00FD38DC" w:rsidRPr="00A755E7" w:rsidRDefault="00FD38DC" w:rsidP="00FD38DC">
      <w:pPr>
        <w:pStyle w:val="ListNumber2"/>
        <w:numPr>
          <w:ilvl w:val="0"/>
          <w:numId w:val="43"/>
        </w:numPr>
        <w:rPr>
          <w:rFonts w:ascii="Arial" w:hAnsi="Arial" w:cs="Arial"/>
          <w:sz w:val="24"/>
          <w:szCs w:val="24"/>
        </w:rPr>
      </w:pPr>
      <w:r w:rsidRPr="00A755E7">
        <w:rPr>
          <w:rFonts w:ascii="Arial" w:hAnsi="Arial" w:cs="Arial"/>
          <w:sz w:val="24"/>
          <w:szCs w:val="24"/>
        </w:rPr>
        <w:t xml:space="preserve">Q1 saw a reduction in mortality rates, compared to Q4 24/25. Figure 2 shows that there has been natural cause variation from January to June 2025. The fluctuation </w:t>
      </w:r>
      <w:r w:rsidR="00F91DC3" w:rsidRPr="00A755E7">
        <w:rPr>
          <w:rFonts w:ascii="Arial" w:hAnsi="Arial" w:cs="Arial"/>
          <w:sz w:val="24"/>
          <w:szCs w:val="24"/>
        </w:rPr>
        <w:t xml:space="preserve">may be </w:t>
      </w:r>
      <w:r w:rsidRPr="00A755E7">
        <w:rPr>
          <w:rFonts w:ascii="Arial" w:hAnsi="Arial" w:cs="Arial"/>
          <w:sz w:val="24"/>
          <w:szCs w:val="24"/>
        </w:rPr>
        <w:t xml:space="preserve">indicative of retrospective reporting, as highlighted to the Board previously. Work in underway analyse mortality </w:t>
      </w:r>
      <w:r w:rsidR="00CD0B33" w:rsidRPr="00A755E7">
        <w:rPr>
          <w:rFonts w:ascii="Arial" w:hAnsi="Arial" w:cs="Arial"/>
          <w:sz w:val="24"/>
          <w:szCs w:val="24"/>
        </w:rPr>
        <w:t xml:space="preserve">rates </w:t>
      </w:r>
      <w:r w:rsidRPr="00A755E7">
        <w:rPr>
          <w:rFonts w:ascii="Arial" w:hAnsi="Arial" w:cs="Arial"/>
          <w:sz w:val="24"/>
          <w:szCs w:val="24"/>
        </w:rPr>
        <w:t>by date of death.</w:t>
      </w:r>
    </w:p>
    <w:p w14:paraId="6E521639" w14:textId="77777777" w:rsidR="00FD38DC" w:rsidRPr="00A755E7" w:rsidRDefault="00FD38DC" w:rsidP="00FD38DC">
      <w:pPr>
        <w:pStyle w:val="ListNumber2"/>
        <w:numPr>
          <w:ilvl w:val="0"/>
          <w:numId w:val="0"/>
        </w:numPr>
        <w:ind w:left="720"/>
        <w:rPr>
          <w:rFonts w:ascii="Arial" w:hAnsi="Arial" w:cs="Arial"/>
          <w:sz w:val="24"/>
          <w:szCs w:val="24"/>
        </w:rPr>
      </w:pPr>
    </w:p>
    <w:p w14:paraId="5E2B6A69" w14:textId="077100B0" w:rsidR="00FD38DC" w:rsidRPr="00A755E7" w:rsidRDefault="00FD38DC" w:rsidP="00FD38DC">
      <w:pPr>
        <w:pStyle w:val="ListNumber2"/>
        <w:numPr>
          <w:ilvl w:val="0"/>
          <w:numId w:val="43"/>
        </w:numPr>
        <w:rPr>
          <w:rFonts w:ascii="Arial" w:hAnsi="Arial" w:cs="Arial"/>
          <w:sz w:val="24"/>
          <w:szCs w:val="24"/>
        </w:rPr>
      </w:pPr>
      <w:r w:rsidRPr="00A755E7">
        <w:rPr>
          <w:rFonts w:ascii="Arial" w:hAnsi="Arial" w:cs="Arial"/>
          <w:sz w:val="24"/>
          <w:szCs w:val="24"/>
        </w:rPr>
        <w:t xml:space="preserve">Completed </w:t>
      </w:r>
      <w:r w:rsidR="00CD0B33" w:rsidRPr="00A755E7">
        <w:rPr>
          <w:rFonts w:ascii="Arial" w:hAnsi="Arial" w:cs="Arial"/>
          <w:sz w:val="24"/>
          <w:szCs w:val="24"/>
        </w:rPr>
        <w:t>Structured Judgement Reviews (</w:t>
      </w:r>
      <w:r w:rsidRPr="00A755E7">
        <w:rPr>
          <w:rFonts w:ascii="Arial" w:hAnsi="Arial" w:cs="Arial"/>
          <w:sz w:val="24"/>
          <w:szCs w:val="24"/>
        </w:rPr>
        <w:t>SJRs</w:t>
      </w:r>
      <w:r w:rsidR="00CD0B33" w:rsidRPr="00A755E7">
        <w:rPr>
          <w:rFonts w:ascii="Arial" w:hAnsi="Arial" w:cs="Arial"/>
          <w:sz w:val="24"/>
          <w:szCs w:val="24"/>
        </w:rPr>
        <w:t>)</w:t>
      </w:r>
      <w:r w:rsidRPr="00A755E7">
        <w:rPr>
          <w:rFonts w:ascii="Arial" w:hAnsi="Arial" w:cs="Arial"/>
          <w:sz w:val="24"/>
          <w:szCs w:val="24"/>
        </w:rPr>
        <w:t xml:space="preserve"> in Q1 have demonstrated areas of good practice, with minimal areas for improvement highlighted.</w:t>
      </w:r>
    </w:p>
    <w:p w14:paraId="429E38F4" w14:textId="77777777" w:rsidR="00FD38DC" w:rsidRPr="00A755E7" w:rsidRDefault="00FD38DC" w:rsidP="00FD38DC">
      <w:pPr>
        <w:pStyle w:val="ListNumber2"/>
        <w:numPr>
          <w:ilvl w:val="0"/>
          <w:numId w:val="0"/>
        </w:numPr>
        <w:rPr>
          <w:rFonts w:ascii="Arial" w:hAnsi="Arial" w:cs="Arial"/>
          <w:sz w:val="24"/>
          <w:szCs w:val="24"/>
        </w:rPr>
      </w:pPr>
    </w:p>
    <w:p w14:paraId="27370F6B" w14:textId="10845945" w:rsidR="000828EE" w:rsidRPr="00A755E7" w:rsidRDefault="00FD38DC" w:rsidP="000828EE">
      <w:pPr>
        <w:pStyle w:val="ListNumber2"/>
        <w:numPr>
          <w:ilvl w:val="0"/>
          <w:numId w:val="43"/>
        </w:numPr>
        <w:rPr>
          <w:rFonts w:ascii="Arial" w:hAnsi="Arial" w:cs="Arial"/>
          <w:sz w:val="24"/>
          <w:szCs w:val="24"/>
        </w:rPr>
      </w:pPr>
      <w:r w:rsidRPr="00A755E7">
        <w:rPr>
          <w:rFonts w:ascii="Arial" w:hAnsi="Arial" w:cs="Arial"/>
          <w:sz w:val="24"/>
          <w:szCs w:val="24"/>
        </w:rPr>
        <w:t xml:space="preserve">The </w:t>
      </w:r>
      <w:r w:rsidR="00995747" w:rsidRPr="00A755E7">
        <w:rPr>
          <w:rFonts w:ascii="Arial" w:hAnsi="Arial" w:cs="Arial"/>
          <w:sz w:val="24"/>
          <w:szCs w:val="24"/>
        </w:rPr>
        <w:t>T</w:t>
      </w:r>
      <w:r w:rsidRPr="00A755E7">
        <w:rPr>
          <w:rFonts w:ascii="Arial" w:hAnsi="Arial" w:cs="Arial"/>
          <w:sz w:val="24"/>
          <w:szCs w:val="24"/>
        </w:rPr>
        <w:t xml:space="preserve">rust are exploring what appears to be higher numbers of suspected suicides in June 2025, following a decrease in April and May. The review will </w:t>
      </w:r>
      <w:r w:rsidR="00CD0B33" w:rsidRPr="00A755E7">
        <w:rPr>
          <w:rFonts w:ascii="Arial" w:hAnsi="Arial" w:cs="Arial"/>
          <w:sz w:val="24"/>
          <w:szCs w:val="24"/>
        </w:rPr>
        <w:t xml:space="preserve">examine </w:t>
      </w:r>
      <w:r w:rsidRPr="00A755E7">
        <w:rPr>
          <w:rFonts w:ascii="Arial" w:hAnsi="Arial" w:cs="Arial"/>
          <w:sz w:val="24"/>
          <w:szCs w:val="24"/>
        </w:rPr>
        <w:t xml:space="preserve">if </w:t>
      </w:r>
      <w:r w:rsidR="00CD0B33" w:rsidRPr="00A755E7">
        <w:rPr>
          <w:rFonts w:ascii="Arial" w:hAnsi="Arial" w:cs="Arial"/>
          <w:sz w:val="24"/>
          <w:szCs w:val="24"/>
        </w:rPr>
        <w:t xml:space="preserve">areas </w:t>
      </w:r>
      <w:r w:rsidRPr="00A755E7">
        <w:rPr>
          <w:rFonts w:ascii="Arial" w:hAnsi="Arial" w:cs="Arial"/>
          <w:sz w:val="24"/>
          <w:szCs w:val="24"/>
        </w:rPr>
        <w:t>such as service, demographics, a change in process (implementation of new risk forms) have contributed to this increase.</w:t>
      </w:r>
    </w:p>
    <w:p w14:paraId="6946BA3A" w14:textId="77777777" w:rsidR="000828EE" w:rsidRPr="00A755E7" w:rsidRDefault="000828EE" w:rsidP="000828EE">
      <w:pPr>
        <w:pStyle w:val="ListNumber2"/>
        <w:numPr>
          <w:ilvl w:val="0"/>
          <w:numId w:val="0"/>
        </w:numPr>
        <w:rPr>
          <w:rFonts w:ascii="Arial" w:hAnsi="Arial" w:cs="Arial"/>
          <w:sz w:val="24"/>
          <w:szCs w:val="24"/>
        </w:rPr>
      </w:pPr>
    </w:p>
    <w:p w14:paraId="4DB155D8" w14:textId="3F17D52E" w:rsidR="000828EE" w:rsidRPr="00A755E7" w:rsidRDefault="000828EE" w:rsidP="000828EE">
      <w:pPr>
        <w:pStyle w:val="ListNumber2"/>
        <w:numPr>
          <w:ilvl w:val="0"/>
          <w:numId w:val="43"/>
        </w:numPr>
        <w:rPr>
          <w:rFonts w:ascii="Arial" w:hAnsi="Arial" w:cs="Arial"/>
          <w:sz w:val="24"/>
          <w:szCs w:val="24"/>
        </w:rPr>
      </w:pPr>
      <w:r w:rsidRPr="00A755E7">
        <w:rPr>
          <w:rFonts w:ascii="Arial" w:hAnsi="Arial" w:cs="Arial"/>
          <w:sz w:val="24"/>
          <w:szCs w:val="24"/>
        </w:rPr>
        <w:t>Work regarding health inequalities and gaps in demographic recording is to continue</w:t>
      </w:r>
      <w:r w:rsidR="00995747" w:rsidRPr="00A755E7">
        <w:rPr>
          <w:rFonts w:ascii="Arial" w:hAnsi="Arial" w:cs="Arial"/>
          <w:sz w:val="24"/>
          <w:szCs w:val="24"/>
        </w:rPr>
        <w:t xml:space="preserve"> </w:t>
      </w:r>
      <w:r w:rsidRPr="00A755E7">
        <w:rPr>
          <w:rFonts w:ascii="Arial" w:hAnsi="Arial" w:cs="Arial"/>
          <w:sz w:val="24"/>
          <w:szCs w:val="24"/>
        </w:rPr>
        <w:t>through the Equity for All Working Group and strategic objectives.</w:t>
      </w:r>
    </w:p>
    <w:p w14:paraId="35E796E9" w14:textId="77777777" w:rsidR="00086059" w:rsidRPr="001D598B" w:rsidRDefault="00086059" w:rsidP="00F91DC3">
      <w:pPr>
        <w:pStyle w:val="NoSpacing"/>
        <w:rPr>
          <w:rFonts w:ascii="Arial" w:hAnsi="Arial" w:cs="Arial"/>
        </w:rPr>
      </w:pPr>
    </w:p>
    <w:p w14:paraId="6B0BD543" w14:textId="77777777" w:rsidR="00E84B16" w:rsidRDefault="00E84B16" w:rsidP="00E03CBA">
      <w:pPr>
        <w:pBdr>
          <w:bottom w:val="single" w:sz="12" w:space="1" w:color="auto"/>
        </w:pBdr>
        <w:spacing w:after="0" w:line="240" w:lineRule="auto"/>
        <w:jc w:val="center"/>
        <w:rPr>
          <w:rFonts w:ascii="Arial" w:hAnsi="Arial" w:cs="Arial"/>
          <w:b/>
          <w:sz w:val="28"/>
          <w:szCs w:val="24"/>
        </w:rPr>
      </w:pPr>
      <w:r>
        <w:rPr>
          <w:rFonts w:ascii="Arial" w:hAnsi="Arial" w:cs="Arial"/>
          <w:b/>
          <w:sz w:val="28"/>
          <w:szCs w:val="24"/>
        </w:rPr>
        <w:lastRenderedPageBreak/>
        <w:t>Governance</w:t>
      </w:r>
    </w:p>
    <w:p w14:paraId="40014CBF" w14:textId="77777777" w:rsidR="00BF2AC6" w:rsidRDefault="00BF2AC6" w:rsidP="00E03CBA">
      <w:pPr>
        <w:spacing w:after="0" w:line="240" w:lineRule="auto"/>
        <w:ind w:left="3402" w:hanging="3402"/>
        <w:rPr>
          <w:rFonts w:ascii="Arial" w:hAnsi="Arial" w:cs="Arial"/>
          <w:b/>
          <w:sz w:val="24"/>
        </w:rPr>
      </w:pPr>
    </w:p>
    <w:p w14:paraId="0CEA1A53" w14:textId="77777777" w:rsidR="00E84B16" w:rsidRPr="00A755E7" w:rsidRDefault="00E84B16" w:rsidP="00E03CBA">
      <w:pPr>
        <w:spacing w:after="0" w:line="240" w:lineRule="auto"/>
        <w:ind w:left="3402" w:hanging="3402"/>
        <w:rPr>
          <w:rFonts w:ascii="Arial" w:hAnsi="Arial" w:cs="Arial"/>
          <w:sz w:val="24"/>
          <w:szCs w:val="24"/>
        </w:rPr>
      </w:pPr>
      <w:r w:rsidRPr="00A755E7">
        <w:rPr>
          <w:rFonts w:ascii="Arial" w:hAnsi="Arial" w:cs="Arial"/>
          <w:b/>
          <w:sz w:val="24"/>
          <w:szCs w:val="24"/>
        </w:rPr>
        <w:t>Implications/Impact:</w:t>
      </w:r>
      <w:r w:rsidRPr="00A755E7">
        <w:rPr>
          <w:rFonts w:ascii="Arial" w:hAnsi="Arial" w:cs="Arial"/>
          <w:sz w:val="24"/>
          <w:szCs w:val="24"/>
        </w:rPr>
        <w:tab/>
        <w:t>Patient safety</w:t>
      </w:r>
    </w:p>
    <w:p w14:paraId="0C009AF4" w14:textId="232EAF6E" w:rsidR="00E84B16" w:rsidRPr="00A755E7" w:rsidRDefault="00E84B16" w:rsidP="000828EE">
      <w:pPr>
        <w:spacing w:after="0" w:line="240" w:lineRule="auto"/>
        <w:rPr>
          <w:rFonts w:ascii="Arial" w:hAnsi="Arial" w:cs="Arial"/>
          <w:sz w:val="24"/>
          <w:szCs w:val="24"/>
        </w:rPr>
      </w:pPr>
      <w:r w:rsidRPr="00A755E7">
        <w:rPr>
          <w:rFonts w:ascii="Arial" w:hAnsi="Arial" w:cs="Arial"/>
          <w:b/>
          <w:sz w:val="24"/>
          <w:szCs w:val="24"/>
        </w:rPr>
        <w:t>Risk recorded on:</w:t>
      </w:r>
      <w:r w:rsidR="006B0B00" w:rsidRPr="00A755E7">
        <w:rPr>
          <w:rFonts w:ascii="Arial" w:hAnsi="Arial" w:cs="Arial"/>
          <w:sz w:val="24"/>
          <w:szCs w:val="24"/>
        </w:rPr>
        <w:t xml:space="preserve">                    Trust Risk Register</w:t>
      </w:r>
    </w:p>
    <w:p w14:paraId="0E4529FB" w14:textId="06ADD958" w:rsidR="00E84B16" w:rsidRPr="00A755E7" w:rsidRDefault="00E84B16" w:rsidP="00E03CBA">
      <w:pPr>
        <w:spacing w:after="0" w:line="240" w:lineRule="auto"/>
        <w:ind w:left="3402" w:hanging="3402"/>
        <w:rPr>
          <w:rFonts w:ascii="Arial" w:hAnsi="Arial" w:cs="Arial"/>
          <w:sz w:val="24"/>
          <w:szCs w:val="24"/>
        </w:rPr>
      </w:pPr>
      <w:r w:rsidRPr="00A755E7">
        <w:rPr>
          <w:rFonts w:ascii="Arial" w:hAnsi="Arial" w:cs="Arial"/>
          <w:b/>
          <w:sz w:val="24"/>
          <w:szCs w:val="24"/>
        </w:rPr>
        <w:t>Risk IDs:</w:t>
      </w:r>
      <w:r w:rsidRPr="00A755E7">
        <w:rPr>
          <w:rFonts w:ascii="Arial" w:hAnsi="Arial" w:cs="Arial"/>
          <w:sz w:val="24"/>
          <w:szCs w:val="24"/>
        </w:rPr>
        <w:tab/>
      </w:r>
      <w:r w:rsidR="006B0B00" w:rsidRPr="00A755E7">
        <w:rPr>
          <w:rFonts w:ascii="Arial" w:hAnsi="Arial" w:cs="Arial"/>
          <w:sz w:val="24"/>
          <w:szCs w:val="24"/>
        </w:rPr>
        <w:t xml:space="preserve">7668. </w:t>
      </w:r>
      <w:r w:rsidR="006B0B00" w:rsidRPr="00A755E7">
        <w:rPr>
          <w:rFonts w:ascii="Arial" w:hAnsi="Arial" w:cs="Arial"/>
          <w:b/>
          <w:sz w:val="24"/>
          <w:szCs w:val="24"/>
        </w:rPr>
        <w:t>Current Rating:</w:t>
      </w:r>
      <w:r w:rsidR="00AC308D" w:rsidRPr="00A755E7">
        <w:rPr>
          <w:rFonts w:ascii="Arial" w:hAnsi="Arial" w:cs="Arial"/>
          <w:b/>
          <w:sz w:val="24"/>
          <w:szCs w:val="24"/>
        </w:rPr>
        <w:t xml:space="preserve"> </w:t>
      </w:r>
      <w:r w:rsidR="00D24C7F" w:rsidRPr="00A755E7">
        <w:rPr>
          <w:rFonts w:ascii="Arial" w:hAnsi="Arial" w:cs="Arial"/>
          <w:sz w:val="24"/>
          <w:szCs w:val="24"/>
        </w:rPr>
        <w:t>9</w:t>
      </w:r>
      <w:r w:rsidR="006B0B00" w:rsidRPr="00A755E7">
        <w:rPr>
          <w:rFonts w:ascii="Arial" w:hAnsi="Arial" w:cs="Arial"/>
          <w:sz w:val="24"/>
          <w:szCs w:val="24"/>
        </w:rPr>
        <w:t xml:space="preserve"> </w:t>
      </w:r>
      <w:r w:rsidR="006B0B00" w:rsidRPr="00A755E7">
        <w:rPr>
          <w:rFonts w:ascii="Arial" w:hAnsi="Arial" w:cs="Arial"/>
          <w:b/>
          <w:sz w:val="24"/>
          <w:szCs w:val="24"/>
        </w:rPr>
        <w:t>Target rating:</w:t>
      </w:r>
      <w:r w:rsidR="00AC308D" w:rsidRPr="00A755E7">
        <w:rPr>
          <w:rFonts w:ascii="Arial" w:hAnsi="Arial" w:cs="Arial"/>
          <w:b/>
          <w:sz w:val="24"/>
          <w:szCs w:val="24"/>
        </w:rPr>
        <w:t xml:space="preserve"> </w:t>
      </w:r>
      <w:r w:rsidR="006B0B00" w:rsidRPr="00A755E7">
        <w:rPr>
          <w:rFonts w:ascii="Arial" w:hAnsi="Arial" w:cs="Arial"/>
          <w:sz w:val="24"/>
          <w:szCs w:val="24"/>
        </w:rPr>
        <w:t>6</w:t>
      </w:r>
    </w:p>
    <w:p w14:paraId="0E684386" w14:textId="71F66F92" w:rsidR="00817145" w:rsidRPr="00A755E7" w:rsidRDefault="00E84B16" w:rsidP="00A755E7">
      <w:pPr>
        <w:spacing w:after="0" w:line="240" w:lineRule="auto"/>
        <w:ind w:left="3402" w:hanging="3402"/>
        <w:rPr>
          <w:rFonts w:ascii="Arial" w:hAnsi="Arial" w:cs="Arial"/>
          <w:sz w:val="24"/>
          <w:szCs w:val="24"/>
        </w:rPr>
      </w:pPr>
      <w:r w:rsidRPr="00A755E7">
        <w:rPr>
          <w:rFonts w:ascii="Arial" w:hAnsi="Arial" w:cs="Arial"/>
          <w:b/>
          <w:sz w:val="24"/>
          <w:szCs w:val="24"/>
        </w:rPr>
        <w:t>Assurance/Oversight:</w:t>
      </w:r>
      <w:r w:rsidRPr="00A755E7">
        <w:rPr>
          <w:rFonts w:ascii="Arial" w:hAnsi="Arial" w:cs="Arial"/>
          <w:sz w:val="24"/>
          <w:szCs w:val="24"/>
        </w:rPr>
        <w:tab/>
      </w:r>
      <w:r w:rsidR="00516E53" w:rsidRPr="00A755E7">
        <w:rPr>
          <w:rFonts w:ascii="Arial" w:hAnsi="Arial" w:cs="Arial"/>
          <w:sz w:val="24"/>
          <w:szCs w:val="24"/>
        </w:rPr>
        <w:t xml:space="preserve">Mortality Review </w:t>
      </w:r>
      <w:r w:rsidR="004B598D" w:rsidRPr="00A755E7">
        <w:rPr>
          <w:rFonts w:ascii="Arial" w:hAnsi="Arial" w:cs="Arial"/>
          <w:sz w:val="24"/>
          <w:szCs w:val="24"/>
        </w:rPr>
        <w:t>Group</w:t>
      </w:r>
      <w:r w:rsidR="00516E53" w:rsidRPr="00A755E7">
        <w:rPr>
          <w:rFonts w:ascii="Arial" w:hAnsi="Arial" w:cs="Arial"/>
          <w:sz w:val="24"/>
          <w:szCs w:val="24"/>
        </w:rPr>
        <w:t xml:space="preserve"> and Trust Wide </w:t>
      </w:r>
      <w:r w:rsidR="00A755E7">
        <w:rPr>
          <w:rFonts w:ascii="Arial" w:hAnsi="Arial" w:cs="Arial"/>
          <w:sz w:val="24"/>
          <w:szCs w:val="24"/>
        </w:rPr>
        <w:t xml:space="preserve">Patient </w:t>
      </w:r>
      <w:r w:rsidR="00516E53" w:rsidRPr="00A755E7">
        <w:rPr>
          <w:rFonts w:ascii="Arial" w:hAnsi="Arial" w:cs="Arial"/>
          <w:sz w:val="24"/>
          <w:szCs w:val="24"/>
        </w:rPr>
        <w:t>Safety and Mortality Review Group</w:t>
      </w:r>
    </w:p>
    <w:p w14:paraId="25369E2A" w14:textId="162334C5" w:rsidR="00A735D2" w:rsidRDefault="00A735D2" w:rsidP="00A735D2">
      <w:pPr>
        <w:pStyle w:val="ListNumber2"/>
        <w:numPr>
          <w:ilvl w:val="0"/>
          <w:numId w:val="0"/>
        </w:numPr>
      </w:pPr>
    </w:p>
    <w:p w14:paraId="5FAC1F70" w14:textId="693EFC87" w:rsidR="00A755E7" w:rsidRDefault="00A755E7" w:rsidP="00A735D2">
      <w:pPr>
        <w:pStyle w:val="ListNumber2"/>
        <w:numPr>
          <w:ilvl w:val="0"/>
          <w:numId w:val="0"/>
        </w:numPr>
      </w:pPr>
    </w:p>
    <w:p w14:paraId="306AB603" w14:textId="08D56B4F" w:rsidR="00A755E7" w:rsidRDefault="00A755E7" w:rsidP="00A735D2">
      <w:pPr>
        <w:pStyle w:val="ListNumber2"/>
        <w:numPr>
          <w:ilvl w:val="0"/>
          <w:numId w:val="0"/>
        </w:numPr>
      </w:pPr>
    </w:p>
    <w:p w14:paraId="7E825D7C" w14:textId="6A494931" w:rsidR="00A755E7" w:rsidRDefault="00A755E7" w:rsidP="00A735D2">
      <w:pPr>
        <w:pStyle w:val="ListNumber2"/>
        <w:numPr>
          <w:ilvl w:val="0"/>
          <w:numId w:val="0"/>
        </w:numPr>
      </w:pPr>
    </w:p>
    <w:p w14:paraId="1889D36A" w14:textId="7A805196" w:rsidR="00A755E7" w:rsidRDefault="00A755E7" w:rsidP="00A735D2">
      <w:pPr>
        <w:pStyle w:val="ListNumber2"/>
        <w:numPr>
          <w:ilvl w:val="0"/>
          <w:numId w:val="0"/>
        </w:numPr>
      </w:pPr>
    </w:p>
    <w:p w14:paraId="27C6DDA8" w14:textId="13323ABE" w:rsidR="00A755E7" w:rsidRDefault="00A755E7" w:rsidP="00A735D2">
      <w:pPr>
        <w:pStyle w:val="ListNumber2"/>
        <w:numPr>
          <w:ilvl w:val="0"/>
          <w:numId w:val="0"/>
        </w:numPr>
      </w:pPr>
    </w:p>
    <w:p w14:paraId="09045428" w14:textId="061D40CD" w:rsidR="00A755E7" w:rsidRDefault="00A755E7" w:rsidP="00A735D2">
      <w:pPr>
        <w:pStyle w:val="ListNumber2"/>
        <w:numPr>
          <w:ilvl w:val="0"/>
          <w:numId w:val="0"/>
        </w:numPr>
      </w:pPr>
    </w:p>
    <w:p w14:paraId="2B4BA9C7" w14:textId="10BCFEB4" w:rsidR="00A755E7" w:rsidRDefault="00A755E7" w:rsidP="00A735D2">
      <w:pPr>
        <w:pStyle w:val="ListNumber2"/>
        <w:numPr>
          <w:ilvl w:val="0"/>
          <w:numId w:val="0"/>
        </w:numPr>
      </w:pPr>
    </w:p>
    <w:p w14:paraId="3D83F6D7" w14:textId="0AA15978" w:rsidR="00A755E7" w:rsidRDefault="00A755E7" w:rsidP="00A735D2">
      <w:pPr>
        <w:pStyle w:val="ListNumber2"/>
        <w:numPr>
          <w:ilvl w:val="0"/>
          <w:numId w:val="0"/>
        </w:numPr>
      </w:pPr>
    </w:p>
    <w:p w14:paraId="6AF20F62" w14:textId="634504AE" w:rsidR="00A755E7" w:rsidRDefault="00A755E7" w:rsidP="00A735D2">
      <w:pPr>
        <w:pStyle w:val="ListNumber2"/>
        <w:numPr>
          <w:ilvl w:val="0"/>
          <w:numId w:val="0"/>
        </w:numPr>
      </w:pPr>
    </w:p>
    <w:p w14:paraId="69D17E92" w14:textId="24F18E71" w:rsidR="00A755E7" w:rsidRDefault="00A755E7" w:rsidP="00A735D2">
      <w:pPr>
        <w:pStyle w:val="ListNumber2"/>
        <w:numPr>
          <w:ilvl w:val="0"/>
          <w:numId w:val="0"/>
        </w:numPr>
      </w:pPr>
    </w:p>
    <w:p w14:paraId="61F25200" w14:textId="2840B8BF" w:rsidR="00A755E7" w:rsidRDefault="00A755E7" w:rsidP="00A735D2">
      <w:pPr>
        <w:pStyle w:val="ListNumber2"/>
        <w:numPr>
          <w:ilvl w:val="0"/>
          <w:numId w:val="0"/>
        </w:numPr>
      </w:pPr>
    </w:p>
    <w:p w14:paraId="55FC3CB2" w14:textId="48B1532D" w:rsidR="00A755E7" w:rsidRDefault="00A755E7" w:rsidP="00A735D2">
      <w:pPr>
        <w:pStyle w:val="ListNumber2"/>
        <w:numPr>
          <w:ilvl w:val="0"/>
          <w:numId w:val="0"/>
        </w:numPr>
      </w:pPr>
    </w:p>
    <w:p w14:paraId="55D0CF5F" w14:textId="46B04A2D" w:rsidR="00A755E7" w:rsidRDefault="00A755E7" w:rsidP="00A735D2">
      <w:pPr>
        <w:pStyle w:val="ListNumber2"/>
        <w:numPr>
          <w:ilvl w:val="0"/>
          <w:numId w:val="0"/>
        </w:numPr>
      </w:pPr>
    </w:p>
    <w:p w14:paraId="741A71F1" w14:textId="35922356" w:rsidR="00A755E7" w:rsidRDefault="00A755E7" w:rsidP="00A735D2">
      <w:pPr>
        <w:pStyle w:val="ListNumber2"/>
        <w:numPr>
          <w:ilvl w:val="0"/>
          <w:numId w:val="0"/>
        </w:numPr>
      </w:pPr>
    </w:p>
    <w:p w14:paraId="42626C97" w14:textId="54ECA83B" w:rsidR="00A755E7" w:rsidRDefault="00A755E7" w:rsidP="00A735D2">
      <w:pPr>
        <w:pStyle w:val="ListNumber2"/>
        <w:numPr>
          <w:ilvl w:val="0"/>
          <w:numId w:val="0"/>
        </w:numPr>
      </w:pPr>
    </w:p>
    <w:p w14:paraId="15FED54C" w14:textId="6C4993BB" w:rsidR="00A755E7" w:rsidRDefault="00A755E7" w:rsidP="00A735D2">
      <w:pPr>
        <w:pStyle w:val="ListNumber2"/>
        <w:numPr>
          <w:ilvl w:val="0"/>
          <w:numId w:val="0"/>
        </w:numPr>
      </w:pPr>
    </w:p>
    <w:p w14:paraId="5DB565F1" w14:textId="1314B5E1" w:rsidR="00A755E7" w:rsidRDefault="00A755E7" w:rsidP="00A735D2">
      <w:pPr>
        <w:pStyle w:val="ListNumber2"/>
        <w:numPr>
          <w:ilvl w:val="0"/>
          <w:numId w:val="0"/>
        </w:numPr>
      </w:pPr>
    </w:p>
    <w:p w14:paraId="1C923EB9" w14:textId="317D0BB6" w:rsidR="00A755E7" w:rsidRDefault="00A755E7" w:rsidP="00A735D2">
      <w:pPr>
        <w:pStyle w:val="ListNumber2"/>
        <w:numPr>
          <w:ilvl w:val="0"/>
          <w:numId w:val="0"/>
        </w:numPr>
      </w:pPr>
    </w:p>
    <w:p w14:paraId="25370A0E" w14:textId="4B8972C2" w:rsidR="00A755E7" w:rsidRDefault="00A755E7" w:rsidP="00A735D2">
      <w:pPr>
        <w:pStyle w:val="ListNumber2"/>
        <w:numPr>
          <w:ilvl w:val="0"/>
          <w:numId w:val="0"/>
        </w:numPr>
      </w:pPr>
    </w:p>
    <w:p w14:paraId="730454BD" w14:textId="0833D5D1" w:rsidR="00A755E7" w:rsidRDefault="00A755E7" w:rsidP="00A735D2">
      <w:pPr>
        <w:pStyle w:val="ListNumber2"/>
        <w:numPr>
          <w:ilvl w:val="0"/>
          <w:numId w:val="0"/>
        </w:numPr>
      </w:pPr>
    </w:p>
    <w:p w14:paraId="479E6FD8" w14:textId="24357ECC" w:rsidR="00A755E7" w:rsidRDefault="00A755E7" w:rsidP="00A735D2">
      <w:pPr>
        <w:pStyle w:val="ListNumber2"/>
        <w:numPr>
          <w:ilvl w:val="0"/>
          <w:numId w:val="0"/>
        </w:numPr>
      </w:pPr>
    </w:p>
    <w:p w14:paraId="334E1CF8" w14:textId="56BA2D29" w:rsidR="00A755E7" w:rsidRDefault="00A755E7" w:rsidP="00A735D2">
      <w:pPr>
        <w:pStyle w:val="ListNumber2"/>
        <w:numPr>
          <w:ilvl w:val="0"/>
          <w:numId w:val="0"/>
        </w:numPr>
      </w:pPr>
    </w:p>
    <w:p w14:paraId="3F635A48" w14:textId="618B5492" w:rsidR="00A755E7" w:rsidRDefault="00A755E7" w:rsidP="00A735D2">
      <w:pPr>
        <w:pStyle w:val="ListNumber2"/>
        <w:numPr>
          <w:ilvl w:val="0"/>
          <w:numId w:val="0"/>
        </w:numPr>
      </w:pPr>
    </w:p>
    <w:p w14:paraId="39384BC4" w14:textId="3FBF792B" w:rsidR="00A755E7" w:rsidRDefault="00A755E7" w:rsidP="00A735D2">
      <w:pPr>
        <w:pStyle w:val="ListNumber2"/>
        <w:numPr>
          <w:ilvl w:val="0"/>
          <w:numId w:val="0"/>
        </w:numPr>
      </w:pPr>
    </w:p>
    <w:p w14:paraId="2F982DBB" w14:textId="7C1F20DE" w:rsidR="00A755E7" w:rsidRDefault="00A755E7" w:rsidP="00A735D2">
      <w:pPr>
        <w:pStyle w:val="ListNumber2"/>
        <w:numPr>
          <w:ilvl w:val="0"/>
          <w:numId w:val="0"/>
        </w:numPr>
      </w:pPr>
    </w:p>
    <w:p w14:paraId="513CDEDB" w14:textId="273E5B4A" w:rsidR="00A755E7" w:rsidRDefault="00A755E7" w:rsidP="00A735D2">
      <w:pPr>
        <w:pStyle w:val="ListNumber2"/>
        <w:numPr>
          <w:ilvl w:val="0"/>
          <w:numId w:val="0"/>
        </w:numPr>
      </w:pPr>
    </w:p>
    <w:p w14:paraId="1E40F6A8" w14:textId="3D435D87" w:rsidR="00A755E7" w:rsidRDefault="00A755E7" w:rsidP="00A735D2">
      <w:pPr>
        <w:pStyle w:val="ListNumber2"/>
        <w:numPr>
          <w:ilvl w:val="0"/>
          <w:numId w:val="0"/>
        </w:numPr>
      </w:pPr>
    </w:p>
    <w:p w14:paraId="5C67DD5B" w14:textId="17A3D9AE" w:rsidR="00A755E7" w:rsidRDefault="00A755E7" w:rsidP="00A735D2">
      <w:pPr>
        <w:pStyle w:val="ListNumber2"/>
        <w:numPr>
          <w:ilvl w:val="0"/>
          <w:numId w:val="0"/>
        </w:numPr>
      </w:pPr>
    </w:p>
    <w:p w14:paraId="03E2B817" w14:textId="2BBCEF99" w:rsidR="00A755E7" w:rsidRDefault="00A755E7" w:rsidP="00A735D2">
      <w:pPr>
        <w:pStyle w:val="ListNumber2"/>
        <w:numPr>
          <w:ilvl w:val="0"/>
          <w:numId w:val="0"/>
        </w:numPr>
      </w:pPr>
    </w:p>
    <w:p w14:paraId="0A407EA0" w14:textId="674682E2" w:rsidR="00A755E7" w:rsidRDefault="00A755E7" w:rsidP="00A735D2">
      <w:pPr>
        <w:pStyle w:val="ListNumber2"/>
        <w:numPr>
          <w:ilvl w:val="0"/>
          <w:numId w:val="0"/>
        </w:numPr>
      </w:pPr>
    </w:p>
    <w:p w14:paraId="1718123D" w14:textId="1180647D" w:rsidR="00A755E7" w:rsidRDefault="00A755E7" w:rsidP="00A735D2">
      <w:pPr>
        <w:pStyle w:val="ListNumber2"/>
        <w:numPr>
          <w:ilvl w:val="0"/>
          <w:numId w:val="0"/>
        </w:numPr>
      </w:pPr>
    </w:p>
    <w:p w14:paraId="059BB6FA" w14:textId="41C744B3" w:rsidR="00A755E7" w:rsidRDefault="00A755E7" w:rsidP="00A735D2">
      <w:pPr>
        <w:pStyle w:val="ListNumber2"/>
        <w:numPr>
          <w:ilvl w:val="0"/>
          <w:numId w:val="0"/>
        </w:numPr>
      </w:pPr>
    </w:p>
    <w:p w14:paraId="14A3637E" w14:textId="5B2C91CB" w:rsidR="00A755E7" w:rsidRDefault="00A755E7" w:rsidP="00A735D2">
      <w:pPr>
        <w:pStyle w:val="ListNumber2"/>
        <w:numPr>
          <w:ilvl w:val="0"/>
          <w:numId w:val="0"/>
        </w:numPr>
      </w:pPr>
    </w:p>
    <w:p w14:paraId="57E1FB5A" w14:textId="13748709" w:rsidR="00A755E7" w:rsidRDefault="00A755E7" w:rsidP="00A735D2">
      <w:pPr>
        <w:pStyle w:val="ListNumber2"/>
        <w:numPr>
          <w:ilvl w:val="0"/>
          <w:numId w:val="0"/>
        </w:numPr>
      </w:pPr>
    </w:p>
    <w:p w14:paraId="786D27DA" w14:textId="0E9ED042" w:rsidR="00A755E7" w:rsidRDefault="00A755E7" w:rsidP="00A735D2">
      <w:pPr>
        <w:pStyle w:val="ListNumber2"/>
        <w:numPr>
          <w:ilvl w:val="0"/>
          <w:numId w:val="0"/>
        </w:numPr>
      </w:pPr>
    </w:p>
    <w:p w14:paraId="7DA82367" w14:textId="366325CC" w:rsidR="00A755E7" w:rsidRDefault="00A755E7" w:rsidP="00A735D2">
      <w:pPr>
        <w:pStyle w:val="ListNumber2"/>
        <w:numPr>
          <w:ilvl w:val="0"/>
          <w:numId w:val="0"/>
        </w:numPr>
      </w:pPr>
    </w:p>
    <w:p w14:paraId="6850050C" w14:textId="77777777" w:rsidR="00A755E7" w:rsidRPr="00E03CBA" w:rsidRDefault="00A755E7" w:rsidP="00A735D2">
      <w:pPr>
        <w:pStyle w:val="ListNumber2"/>
        <w:numPr>
          <w:ilvl w:val="0"/>
          <w:numId w:val="0"/>
        </w:numPr>
      </w:pPr>
    </w:p>
    <w:p w14:paraId="3B5E6F00" w14:textId="77777777" w:rsidR="00A735D2" w:rsidRPr="009B6C81" w:rsidRDefault="00A735D2" w:rsidP="00A735D2">
      <w:pPr>
        <w:pStyle w:val="NormalWeb"/>
        <w:numPr>
          <w:ilvl w:val="0"/>
          <w:numId w:val="10"/>
        </w:numPr>
        <w:rPr>
          <w:rStyle w:val="Strong"/>
          <w:rFonts w:ascii="Arial" w:hAnsi="Arial" w:cs="Arial"/>
          <w:b w:val="0"/>
          <w:bCs w:val="0"/>
          <w:color w:val="000000"/>
          <w:sz w:val="22"/>
          <w:szCs w:val="22"/>
        </w:rPr>
      </w:pPr>
      <w:r w:rsidRPr="009B6C81">
        <w:rPr>
          <w:rStyle w:val="Strong"/>
          <w:rFonts w:ascii="Arial" w:hAnsi="Arial" w:cs="Arial"/>
          <w:color w:val="000000"/>
          <w:sz w:val="22"/>
          <w:szCs w:val="22"/>
        </w:rPr>
        <w:lastRenderedPageBreak/>
        <w:t>INTRODUCTION</w:t>
      </w:r>
    </w:p>
    <w:p w14:paraId="30D52041" w14:textId="77777777" w:rsidR="00A735D2" w:rsidRDefault="00A735D2" w:rsidP="00A735D2">
      <w:pPr>
        <w:pStyle w:val="NormalWeb"/>
        <w:rPr>
          <w:rFonts w:ascii="Arial" w:hAnsi="Arial" w:cs="Arial"/>
          <w:color w:val="000000"/>
          <w:sz w:val="22"/>
          <w:szCs w:val="22"/>
        </w:rPr>
      </w:pPr>
    </w:p>
    <w:p w14:paraId="7B431B80" w14:textId="3FE32D00" w:rsidR="00A735D2" w:rsidRPr="008E50B9" w:rsidRDefault="008E50B9" w:rsidP="008E50B9">
      <w:pPr>
        <w:rPr>
          <w:rFonts w:ascii="Arial" w:hAnsi="Arial" w:cs="Arial"/>
        </w:rPr>
      </w:pPr>
      <w:r w:rsidRPr="008E50B9">
        <w:rPr>
          <w:rFonts w:ascii="Arial" w:hAnsi="Arial" w:cs="Arial"/>
        </w:rPr>
        <w:t xml:space="preserve">1.1 </w:t>
      </w:r>
      <w:r w:rsidR="00A735D2" w:rsidRPr="008E50B9">
        <w:rPr>
          <w:rFonts w:ascii="Arial" w:hAnsi="Arial" w:cs="Arial"/>
        </w:rPr>
        <w:t xml:space="preserve">The purpose of the report is to fulfil </w:t>
      </w:r>
      <w:r w:rsidR="008C3B26" w:rsidRPr="008E50B9">
        <w:rPr>
          <w:rFonts w:ascii="Arial" w:hAnsi="Arial" w:cs="Arial"/>
        </w:rPr>
        <w:t xml:space="preserve">the </w:t>
      </w:r>
      <w:r w:rsidR="00A735D2" w:rsidRPr="008E50B9">
        <w:rPr>
          <w:rFonts w:ascii="Arial" w:hAnsi="Arial" w:cs="Arial"/>
        </w:rPr>
        <w:t xml:space="preserve">expectations in relation to reporting, monitoring and </w:t>
      </w:r>
      <w:r w:rsidR="002A7448" w:rsidRPr="008E50B9">
        <w:rPr>
          <w:rFonts w:ascii="Arial" w:hAnsi="Arial" w:cs="Arial"/>
        </w:rPr>
        <w:t xml:space="preserve">the </w:t>
      </w:r>
      <w:r w:rsidR="00A735D2" w:rsidRPr="008E50B9">
        <w:rPr>
          <w:rFonts w:ascii="Arial" w:hAnsi="Arial" w:cs="Arial"/>
        </w:rPr>
        <w:t>Board’s oversight of mortality incidents</w:t>
      </w:r>
      <w:r w:rsidR="002A7448" w:rsidRPr="008E50B9">
        <w:rPr>
          <w:rFonts w:ascii="Arial" w:hAnsi="Arial" w:cs="Arial"/>
        </w:rPr>
        <w:t xml:space="preserve">, as </w:t>
      </w:r>
      <w:r w:rsidR="00A735D2" w:rsidRPr="008E50B9">
        <w:rPr>
          <w:rFonts w:ascii="Arial" w:hAnsi="Arial" w:cs="Arial"/>
        </w:rPr>
        <w:t xml:space="preserve">set out in </w:t>
      </w:r>
      <w:r w:rsidR="002A7448" w:rsidRPr="008E50B9">
        <w:rPr>
          <w:rFonts w:ascii="Arial" w:hAnsi="Arial" w:cs="Arial"/>
        </w:rPr>
        <w:t xml:space="preserve">the </w:t>
      </w:r>
      <w:r w:rsidR="00A735D2" w:rsidRPr="008E50B9">
        <w:rPr>
          <w:rFonts w:ascii="Arial" w:hAnsi="Arial" w:cs="Arial"/>
        </w:rPr>
        <w:t>National Quality Board’s ‘Learning from Deaths’ guidance (March 2017)</w:t>
      </w:r>
      <w:r w:rsidR="002A7448" w:rsidRPr="008E50B9">
        <w:rPr>
          <w:rFonts w:ascii="Arial" w:hAnsi="Arial" w:cs="Arial"/>
        </w:rPr>
        <w:t xml:space="preserve">. This </w:t>
      </w:r>
      <w:r w:rsidR="00A735D2" w:rsidRPr="008E50B9">
        <w:rPr>
          <w:rFonts w:ascii="Arial" w:hAnsi="Arial" w:cs="Arial"/>
        </w:rPr>
        <w:t>builds on the recommendations made by the MAZARS investigation into Southern Health (Dec 2015), the CQC report ‘Learning, Candour and Accountability publication’ (Dec 2016) and the Learning Disabilities Mortality Review (</w:t>
      </w:r>
      <w:proofErr w:type="spellStart"/>
      <w:r w:rsidR="00A735D2" w:rsidRPr="008E50B9">
        <w:rPr>
          <w:rFonts w:ascii="Arial" w:hAnsi="Arial" w:cs="Arial"/>
        </w:rPr>
        <w:t>LeDeR</w:t>
      </w:r>
      <w:proofErr w:type="spellEnd"/>
      <w:r w:rsidR="00A735D2" w:rsidRPr="008E50B9">
        <w:rPr>
          <w:rFonts w:ascii="Arial" w:hAnsi="Arial" w:cs="Arial"/>
        </w:rPr>
        <w:t>) which is managed by NHS England. This is further reflected in our local policies and procedures to ensure we discharge our duties effectively, and as such the Committee would be familiar with the report history and purpose.</w:t>
      </w:r>
    </w:p>
    <w:p w14:paraId="6B2F8AC9" w14:textId="5E379425" w:rsidR="00A735D2" w:rsidRDefault="00A735D2" w:rsidP="00A735D2">
      <w:pPr>
        <w:pStyle w:val="NormalWeb"/>
        <w:rPr>
          <w:rFonts w:ascii="Arial" w:hAnsi="Arial" w:cs="Arial"/>
          <w:color w:val="000000"/>
          <w:sz w:val="22"/>
          <w:szCs w:val="22"/>
        </w:rPr>
      </w:pPr>
    </w:p>
    <w:p w14:paraId="153B37F8" w14:textId="50D74B2D" w:rsidR="00A735D2" w:rsidRDefault="00A735D2" w:rsidP="00591F44">
      <w:pPr>
        <w:pStyle w:val="NormalWeb"/>
        <w:numPr>
          <w:ilvl w:val="0"/>
          <w:numId w:val="10"/>
        </w:numPr>
        <w:rPr>
          <w:rFonts w:ascii="Arial" w:hAnsi="Arial" w:cs="Arial"/>
          <w:b/>
          <w:color w:val="000000"/>
          <w:sz w:val="22"/>
          <w:szCs w:val="22"/>
        </w:rPr>
      </w:pPr>
      <w:r w:rsidRPr="00A735D2">
        <w:rPr>
          <w:rFonts w:ascii="Arial" w:hAnsi="Arial" w:cs="Arial"/>
          <w:b/>
          <w:color w:val="000000"/>
          <w:sz w:val="22"/>
          <w:szCs w:val="22"/>
        </w:rPr>
        <w:t>HOW MORTALITY IS REVIEWED IN KMPT</w:t>
      </w:r>
    </w:p>
    <w:p w14:paraId="18E895E0" w14:textId="487B9053" w:rsidR="00A735D2" w:rsidRDefault="00A735D2" w:rsidP="00A735D2">
      <w:pPr>
        <w:pStyle w:val="NormalWeb"/>
        <w:rPr>
          <w:rFonts w:ascii="Arial" w:hAnsi="Arial" w:cs="Arial"/>
          <w:b/>
          <w:color w:val="000000"/>
          <w:sz w:val="22"/>
          <w:szCs w:val="22"/>
        </w:rPr>
      </w:pPr>
    </w:p>
    <w:p w14:paraId="3C7F04C4" w14:textId="49076F60" w:rsidR="00523A42" w:rsidRPr="003B3EF8" w:rsidRDefault="00DB129A" w:rsidP="00523A42">
      <w:pPr>
        <w:rPr>
          <w:rFonts w:ascii="Arial" w:hAnsi="Arial" w:cs="Arial"/>
        </w:rPr>
      </w:pPr>
      <w:r>
        <w:rPr>
          <w:rFonts w:ascii="Arial" w:hAnsi="Arial" w:cs="Arial"/>
          <w:color w:val="232323"/>
          <w:spacing w:val="-2"/>
          <w:shd w:val="clear" w:color="auto" w:fill="FFFFFF"/>
        </w:rPr>
        <w:t xml:space="preserve">2.1 </w:t>
      </w:r>
      <w:r w:rsidR="00523A42" w:rsidRPr="003B3EF8">
        <w:rPr>
          <w:rFonts w:ascii="Arial" w:hAnsi="Arial" w:cs="Arial"/>
          <w:color w:val="232323"/>
          <w:spacing w:val="-2"/>
          <w:shd w:val="clear" w:color="auto" w:fill="FFFFFF"/>
        </w:rPr>
        <w:t>The Patient Safety Incident Reporting Framework (PSIRF) was introduced by the NHS to improve how we learn from patient safety incidents or events. We'll also learn from good practice when things go well.</w:t>
      </w:r>
    </w:p>
    <w:p w14:paraId="6F42D0D6" w14:textId="77777777" w:rsidR="00F45193" w:rsidRDefault="00DB129A" w:rsidP="00523A42">
      <w:pPr>
        <w:rPr>
          <w:rFonts w:ascii="Arial" w:hAnsi="Arial" w:cs="Arial"/>
          <w:color w:val="232323"/>
          <w:spacing w:val="-2"/>
          <w:shd w:val="clear" w:color="auto" w:fill="FFFFFF"/>
        </w:rPr>
      </w:pPr>
      <w:r>
        <w:rPr>
          <w:rFonts w:ascii="Arial" w:hAnsi="Arial" w:cs="Arial"/>
          <w:color w:val="232323"/>
          <w:spacing w:val="-2"/>
          <w:shd w:val="clear" w:color="auto" w:fill="FFFFFF"/>
        </w:rPr>
        <w:t xml:space="preserve">2.2 </w:t>
      </w:r>
      <w:r w:rsidR="00523A42" w:rsidRPr="003B3EF8">
        <w:rPr>
          <w:rFonts w:ascii="Arial" w:hAnsi="Arial" w:cs="Arial"/>
          <w:color w:val="232323"/>
          <w:spacing w:val="-2"/>
          <w:shd w:val="clear" w:color="auto" w:fill="FFFFFF"/>
        </w:rPr>
        <w:t>The Patient Safety Incident Response Framework (PSIRF) sets out how the NHS responds to these patient safety events so we can learn from them and improve patient safety.</w:t>
      </w:r>
    </w:p>
    <w:p w14:paraId="6FE6A7F2" w14:textId="572F67C3" w:rsidR="00523A42" w:rsidRPr="003B3EF8" w:rsidRDefault="00F45193" w:rsidP="00523A42">
      <w:pPr>
        <w:rPr>
          <w:rFonts w:ascii="Arial" w:hAnsi="Arial" w:cs="Arial"/>
          <w:color w:val="232323"/>
          <w:spacing w:val="-2"/>
          <w:shd w:val="clear" w:color="auto" w:fill="FFFFFF"/>
        </w:rPr>
      </w:pPr>
      <w:r>
        <w:rPr>
          <w:rFonts w:ascii="Arial" w:hAnsi="Arial" w:cs="Arial"/>
          <w:color w:val="232323"/>
          <w:spacing w:val="-2"/>
          <w:shd w:val="clear" w:color="auto" w:fill="FFFFFF"/>
        </w:rPr>
        <w:t>2.3 There are national and local PSIRF priorities that KMPT are guided by</w:t>
      </w:r>
      <w:r w:rsidR="00F736B8">
        <w:rPr>
          <w:rFonts w:ascii="Arial" w:hAnsi="Arial" w:cs="Arial"/>
          <w:color w:val="232323"/>
          <w:spacing w:val="-2"/>
          <w:shd w:val="clear" w:color="auto" w:fill="FFFFFF"/>
        </w:rPr>
        <w:t xml:space="preserve">. Local priorities are regularly reviewed </w:t>
      </w:r>
      <w:r w:rsidR="000E478C">
        <w:rPr>
          <w:rFonts w:ascii="Arial" w:hAnsi="Arial" w:cs="Arial"/>
          <w:color w:val="232323"/>
          <w:spacing w:val="-2"/>
          <w:shd w:val="clear" w:color="auto" w:fill="FFFFFF"/>
        </w:rPr>
        <w:t>and can be amended dependant on our what our data tells us.</w:t>
      </w:r>
    </w:p>
    <w:p w14:paraId="7EC5D975" w14:textId="1E6C6E1A" w:rsidR="00523A42" w:rsidRDefault="00DB129A" w:rsidP="00523A42">
      <w:pPr>
        <w:rPr>
          <w:rFonts w:ascii="Arial" w:hAnsi="Arial" w:cs="Arial"/>
        </w:rPr>
      </w:pPr>
      <w:r>
        <w:rPr>
          <w:rFonts w:ascii="Arial" w:hAnsi="Arial" w:cs="Arial"/>
        </w:rPr>
        <w:t>2.</w:t>
      </w:r>
      <w:r w:rsidR="00ED3518">
        <w:rPr>
          <w:rFonts w:ascii="Arial" w:hAnsi="Arial" w:cs="Arial"/>
        </w:rPr>
        <w:t>4</w:t>
      </w:r>
      <w:r>
        <w:rPr>
          <w:rFonts w:ascii="Arial" w:hAnsi="Arial" w:cs="Arial"/>
        </w:rPr>
        <w:t xml:space="preserve"> </w:t>
      </w:r>
      <w:r w:rsidR="00523A42">
        <w:rPr>
          <w:rFonts w:ascii="Arial" w:hAnsi="Arial" w:cs="Arial"/>
        </w:rPr>
        <w:t xml:space="preserve">A patient safety incident decision panel </w:t>
      </w:r>
      <w:r w:rsidR="006E6EE0">
        <w:rPr>
          <w:rFonts w:ascii="Arial" w:hAnsi="Arial" w:cs="Arial"/>
        </w:rPr>
        <w:t xml:space="preserve">takes place weekly. </w:t>
      </w:r>
      <w:r w:rsidR="00523A42" w:rsidRPr="003B3EF8">
        <w:rPr>
          <w:rFonts w:ascii="Arial" w:hAnsi="Arial" w:cs="Arial"/>
        </w:rPr>
        <w:t xml:space="preserve">The purpose of the group is to review incidents </w:t>
      </w:r>
      <w:r w:rsidR="00523A42">
        <w:rPr>
          <w:rFonts w:ascii="Arial" w:hAnsi="Arial" w:cs="Arial"/>
        </w:rPr>
        <w:t xml:space="preserve">(including mortality) </w:t>
      </w:r>
      <w:r w:rsidR="00523A42" w:rsidRPr="003B3EF8">
        <w:rPr>
          <w:rFonts w:ascii="Arial" w:hAnsi="Arial" w:cs="Arial"/>
        </w:rPr>
        <w:t xml:space="preserve">that may require further exploration, such as a </w:t>
      </w:r>
      <w:r w:rsidR="006E6EE0">
        <w:rPr>
          <w:rFonts w:ascii="Arial" w:hAnsi="Arial" w:cs="Arial"/>
        </w:rPr>
        <w:t>T</w:t>
      </w:r>
      <w:r w:rsidR="00523A42" w:rsidRPr="003B3EF8">
        <w:rPr>
          <w:rFonts w:ascii="Arial" w:hAnsi="Arial" w:cs="Arial"/>
        </w:rPr>
        <w:t xml:space="preserve">hematic </w:t>
      </w:r>
      <w:r w:rsidR="006E6EE0">
        <w:rPr>
          <w:rFonts w:ascii="Arial" w:hAnsi="Arial" w:cs="Arial"/>
        </w:rPr>
        <w:t>R</w:t>
      </w:r>
      <w:r w:rsidR="00523A42" w:rsidRPr="003B3EF8">
        <w:rPr>
          <w:rFonts w:ascii="Arial" w:hAnsi="Arial" w:cs="Arial"/>
        </w:rPr>
        <w:t>eview</w:t>
      </w:r>
      <w:r w:rsidR="006E6EE0">
        <w:rPr>
          <w:rFonts w:ascii="Arial" w:hAnsi="Arial" w:cs="Arial"/>
        </w:rPr>
        <w:t>( TR)</w:t>
      </w:r>
      <w:r w:rsidR="00523A42" w:rsidRPr="003B3EF8">
        <w:rPr>
          <w:rFonts w:ascii="Arial" w:hAnsi="Arial" w:cs="Arial"/>
        </w:rPr>
        <w:t xml:space="preserve">, </w:t>
      </w:r>
      <w:r w:rsidR="00523A42">
        <w:rPr>
          <w:rFonts w:ascii="Arial" w:hAnsi="Arial" w:cs="Arial"/>
        </w:rPr>
        <w:t>After Action Review (</w:t>
      </w:r>
      <w:r w:rsidR="00523A42" w:rsidRPr="003B3EF8">
        <w:rPr>
          <w:rFonts w:ascii="Arial" w:hAnsi="Arial" w:cs="Arial"/>
        </w:rPr>
        <w:t>AAR</w:t>
      </w:r>
      <w:r w:rsidR="00523A42">
        <w:rPr>
          <w:rFonts w:ascii="Arial" w:hAnsi="Arial" w:cs="Arial"/>
        </w:rPr>
        <w:t>)</w:t>
      </w:r>
      <w:r w:rsidR="00523A42" w:rsidRPr="003B3EF8">
        <w:rPr>
          <w:rFonts w:ascii="Arial" w:hAnsi="Arial" w:cs="Arial"/>
        </w:rPr>
        <w:t xml:space="preserve"> or </w:t>
      </w:r>
      <w:r w:rsidR="00523A42">
        <w:rPr>
          <w:rFonts w:ascii="Arial" w:hAnsi="Arial" w:cs="Arial"/>
        </w:rPr>
        <w:t>Patient Safety Incident Investigation (</w:t>
      </w:r>
      <w:r w:rsidR="00523A42" w:rsidRPr="003B3EF8">
        <w:rPr>
          <w:rFonts w:ascii="Arial" w:hAnsi="Arial" w:cs="Arial"/>
        </w:rPr>
        <w:t>PSII</w:t>
      </w:r>
      <w:r w:rsidR="00523A42">
        <w:rPr>
          <w:rFonts w:ascii="Arial" w:hAnsi="Arial" w:cs="Arial"/>
        </w:rPr>
        <w:t>)</w:t>
      </w:r>
      <w:r w:rsidR="00523A42" w:rsidRPr="003B3EF8">
        <w:rPr>
          <w:rFonts w:ascii="Arial" w:hAnsi="Arial" w:cs="Arial"/>
        </w:rPr>
        <w:t>.</w:t>
      </w:r>
    </w:p>
    <w:p w14:paraId="32B9BD43" w14:textId="64DB6FD0" w:rsidR="00F45193" w:rsidRDefault="00DB129A" w:rsidP="00A735D2">
      <w:pPr>
        <w:pStyle w:val="NormalWeb"/>
        <w:rPr>
          <w:rFonts w:ascii="Arial" w:hAnsi="Arial" w:cs="Arial"/>
          <w:color w:val="000000"/>
          <w:sz w:val="22"/>
          <w:szCs w:val="22"/>
        </w:rPr>
      </w:pPr>
      <w:r>
        <w:rPr>
          <w:rFonts w:ascii="Arial" w:hAnsi="Arial" w:cs="Arial"/>
          <w:color w:val="000000"/>
          <w:sz w:val="22"/>
          <w:szCs w:val="22"/>
        </w:rPr>
        <w:t>2.</w:t>
      </w:r>
      <w:r w:rsidR="00ED3518">
        <w:rPr>
          <w:rFonts w:ascii="Arial" w:hAnsi="Arial" w:cs="Arial"/>
          <w:color w:val="000000"/>
          <w:sz w:val="22"/>
          <w:szCs w:val="22"/>
        </w:rPr>
        <w:t>5</w:t>
      </w:r>
      <w:r>
        <w:rPr>
          <w:rFonts w:ascii="Arial" w:hAnsi="Arial" w:cs="Arial"/>
          <w:color w:val="000000"/>
          <w:sz w:val="22"/>
          <w:szCs w:val="22"/>
        </w:rPr>
        <w:t xml:space="preserve"> </w:t>
      </w:r>
      <w:r w:rsidR="00523A42">
        <w:rPr>
          <w:rFonts w:ascii="Arial" w:hAnsi="Arial" w:cs="Arial"/>
          <w:color w:val="000000"/>
          <w:sz w:val="22"/>
          <w:szCs w:val="22"/>
        </w:rPr>
        <w:t xml:space="preserve">In addition to this panel and PSIRF processes, the </w:t>
      </w:r>
      <w:r w:rsidR="00995747">
        <w:rPr>
          <w:rFonts w:ascii="Arial" w:hAnsi="Arial" w:cs="Arial"/>
          <w:color w:val="000000"/>
          <w:sz w:val="22"/>
          <w:szCs w:val="22"/>
        </w:rPr>
        <w:t>Tr</w:t>
      </w:r>
      <w:r w:rsidR="00523A42">
        <w:rPr>
          <w:rFonts w:ascii="Arial" w:hAnsi="Arial" w:cs="Arial"/>
          <w:color w:val="000000"/>
          <w:sz w:val="22"/>
          <w:szCs w:val="22"/>
        </w:rPr>
        <w:t xml:space="preserve">ust has a monthly Mortality Review Group meeting, chaired by Interim Director of Quality and Safety or appointed Deputy. In this meeting, a monthly mortality report </w:t>
      </w:r>
      <w:r w:rsidR="00C9426C">
        <w:rPr>
          <w:rFonts w:ascii="Arial" w:hAnsi="Arial" w:cs="Arial"/>
          <w:color w:val="000000"/>
          <w:sz w:val="22"/>
          <w:szCs w:val="22"/>
        </w:rPr>
        <w:t>i</w:t>
      </w:r>
      <w:r w:rsidR="00523A42">
        <w:rPr>
          <w:rFonts w:ascii="Arial" w:hAnsi="Arial" w:cs="Arial"/>
          <w:color w:val="000000"/>
          <w:sz w:val="22"/>
          <w:szCs w:val="22"/>
        </w:rPr>
        <w:t xml:space="preserve">s presented to enable discussion relating to local and </w:t>
      </w:r>
      <w:r w:rsidR="00995747">
        <w:rPr>
          <w:rFonts w:ascii="Arial" w:hAnsi="Arial" w:cs="Arial"/>
          <w:color w:val="000000"/>
          <w:sz w:val="22"/>
          <w:szCs w:val="22"/>
        </w:rPr>
        <w:t>n</w:t>
      </w:r>
      <w:r w:rsidR="00C9426C">
        <w:rPr>
          <w:rFonts w:ascii="Arial" w:hAnsi="Arial" w:cs="Arial"/>
          <w:color w:val="000000"/>
          <w:sz w:val="22"/>
          <w:szCs w:val="22"/>
        </w:rPr>
        <w:t xml:space="preserve">ational </w:t>
      </w:r>
      <w:r w:rsidR="00523A42">
        <w:rPr>
          <w:rFonts w:ascii="Arial" w:hAnsi="Arial" w:cs="Arial"/>
          <w:color w:val="000000"/>
          <w:sz w:val="22"/>
          <w:szCs w:val="22"/>
        </w:rPr>
        <w:t xml:space="preserve">mortality data. This group is made up of various Governance leads, Heads of Nursing, Complaints, Legal, and </w:t>
      </w:r>
      <w:r w:rsidR="00995747">
        <w:rPr>
          <w:rFonts w:ascii="Arial" w:hAnsi="Arial" w:cs="Arial"/>
          <w:color w:val="000000"/>
          <w:sz w:val="22"/>
          <w:szCs w:val="22"/>
        </w:rPr>
        <w:t>M</w:t>
      </w:r>
      <w:r w:rsidR="00523A42">
        <w:rPr>
          <w:rFonts w:ascii="Arial" w:hAnsi="Arial" w:cs="Arial"/>
          <w:color w:val="000000"/>
          <w:sz w:val="22"/>
          <w:szCs w:val="22"/>
        </w:rPr>
        <w:t>edical representation.</w:t>
      </w:r>
    </w:p>
    <w:p w14:paraId="766056A5" w14:textId="77777777" w:rsidR="00E84B16" w:rsidRPr="009B6C81" w:rsidRDefault="00E84B16" w:rsidP="00E03CBA">
      <w:pPr>
        <w:pStyle w:val="NormalWeb"/>
        <w:jc w:val="both"/>
        <w:rPr>
          <w:rFonts w:ascii="Arial" w:hAnsi="Arial" w:cs="Arial"/>
          <w:color w:val="000000"/>
          <w:sz w:val="22"/>
          <w:szCs w:val="22"/>
        </w:rPr>
      </w:pPr>
    </w:p>
    <w:p w14:paraId="68E8E51C" w14:textId="5437D636" w:rsidR="00E84B16" w:rsidRPr="009B6C81" w:rsidRDefault="00E84B16" w:rsidP="00591F44">
      <w:pPr>
        <w:pStyle w:val="NormalWeb"/>
        <w:numPr>
          <w:ilvl w:val="0"/>
          <w:numId w:val="10"/>
        </w:numPr>
        <w:rPr>
          <w:rFonts w:ascii="Arial" w:hAnsi="Arial" w:cs="Arial"/>
          <w:b/>
          <w:color w:val="000000"/>
          <w:sz w:val="22"/>
          <w:szCs w:val="22"/>
        </w:rPr>
      </w:pPr>
      <w:r w:rsidRPr="009B6C81">
        <w:rPr>
          <w:rFonts w:ascii="Arial" w:hAnsi="Arial" w:cs="Arial"/>
          <w:b/>
          <w:color w:val="000000"/>
          <w:sz w:val="22"/>
          <w:szCs w:val="22"/>
        </w:rPr>
        <w:t>ANALYSIS OF INFORMATION</w:t>
      </w:r>
    </w:p>
    <w:p w14:paraId="5888F37C" w14:textId="610D6AAD" w:rsidR="0051434E" w:rsidRPr="00ED3518" w:rsidRDefault="00523A42" w:rsidP="00ED3518">
      <w:pPr>
        <w:pStyle w:val="NormalWeb"/>
        <w:rPr>
          <w:rFonts w:ascii="Arial" w:hAnsi="Arial" w:cs="Arial"/>
          <w:b/>
          <w:color w:val="000000"/>
          <w:sz w:val="22"/>
          <w:szCs w:val="22"/>
        </w:rPr>
      </w:pPr>
      <w:r>
        <w:rPr>
          <w:rFonts w:ascii="Arial" w:hAnsi="Arial" w:cs="Arial"/>
          <w:b/>
          <w:color w:val="000000"/>
          <w:sz w:val="22"/>
          <w:szCs w:val="22"/>
        </w:rPr>
        <w:t xml:space="preserve">Figure 1: </w:t>
      </w:r>
      <w:r w:rsidR="00E84B16" w:rsidRPr="009B6C81">
        <w:rPr>
          <w:rFonts w:ascii="Arial" w:hAnsi="Arial" w:cs="Arial"/>
          <w:b/>
          <w:color w:val="000000"/>
          <w:sz w:val="22"/>
          <w:szCs w:val="22"/>
        </w:rPr>
        <w:t xml:space="preserve">Mortality reported cases </w:t>
      </w:r>
    </w:p>
    <w:p w14:paraId="662B9838" w14:textId="77777777" w:rsidR="00F91DC3" w:rsidRDefault="00450A78" w:rsidP="008F4ECF">
      <w:pPr>
        <w:pStyle w:val="ListNumber2"/>
        <w:numPr>
          <w:ilvl w:val="0"/>
          <w:numId w:val="0"/>
        </w:numPr>
        <w:rPr>
          <w:highlight w:val="yellow"/>
        </w:rPr>
      </w:pPr>
      <w:r>
        <w:rPr>
          <w:noProof/>
        </w:rPr>
        <w:drawing>
          <wp:inline distT="0" distB="0" distL="0" distR="0" wp14:anchorId="18BBC5FC" wp14:editId="3CD69702">
            <wp:extent cx="5731510" cy="1943100"/>
            <wp:effectExtent l="0" t="0" r="2540" b="0"/>
            <wp:docPr id="3" name="Chart 3">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E6869F" w14:textId="3D28ED7D" w:rsidR="008F4ECF" w:rsidRPr="00F91DC3" w:rsidRDefault="008F4ECF" w:rsidP="008F4ECF">
      <w:pPr>
        <w:pStyle w:val="ListNumber2"/>
        <w:numPr>
          <w:ilvl w:val="0"/>
          <w:numId w:val="0"/>
        </w:numPr>
        <w:rPr>
          <w:highlight w:val="yellow"/>
        </w:rPr>
      </w:pPr>
      <w:r w:rsidRPr="006A2724">
        <w:rPr>
          <w:rFonts w:ascii="Arial" w:hAnsi="Arial" w:cs="Arial"/>
          <w:b/>
        </w:rPr>
        <w:t xml:space="preserve">Figure </w:t>
      </w:r>
      <w:r w:rsidR="001F4624">
        <w:rPr>
          <w:rFonts w:ascii="Arial" w:hAnsi="Arial" w:cs="Arial"/>
          <w:b/>
        </w:rPr>
        <w:t>2</w:t>
      </w:r>
      <w:r w:rsidR="00ED3518">
        <w:rPr>
          <w:rFonts w:ascii="Arial" w:hAnsi="Arial" w:cs="Arial"/>
          <w:b/>
        </w:rPr>
        <w:t>:</w:t>
      </w:r>
      <w:r w:rsidRPr="006A2724">
        <w:rPr>
          <w:rFonts w:ascii="Arial" w:hAnsi="Arial" w:cs="Arial"/>
          <w:b/>
        </w:rPr>
        <w:t xml:space="preserve"> Mortality SPC</w:t>
      </w:r>
    </w:p>
    <w:p w14:paraId="0D48F665" w14:textId="7D327B00" w:rsidR="00ED3518" w:rsidRDefault="005B3B13" w:rsidP="008F4ECF">
      <w:pPr>
        <w:pStyle w:val="ListNumber2"/>
        <w:numPr>
          <w:ilvl w:val="0"/>
          <w:numId w:val="0"/>
        </w:numPr>
        <w:rPr>
          <w:highlight w:val="yellow"/>
        </w:rPr>
      </w:pPr>
      <w:r w:rsidRPr="005B3B13">
        <w:rPr>
          <w:noProof/>
          <w:highlight w:val="yellow"/>
        </w:rPr>
        <w:lastRenderedPageBreak/>
        <w:drawing>
          <wp:inline distT="0" distB="0" distL="0" distR="0" wp14:anchorId="14A59940" wp14:editId="76186570">
            <wp:extent cx="5731510" cy="2787015"/>
            <wp:effectExtent l="0" t="0" r="2540" b="0"/>
            <wp:docPr id="2" name="Picture 1">
              <a:extLst xmlns:a="http://schemas.openxmlformats.org/drawingml/2006/main">
                <a:ext uri="{FF2B5EF4-FFF2-40B4-BE49-F238E27FC236}">
                  <a16:creationId xmlns:a16="http://schemas.microsoft.com/office/drawing/2014/main" id="{F9187AE1-1D75-47E8-A386-CF7B89EB55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9187AE1-1D75-47E8-A386-CF7B89EB55FC}"/>
                        </a:ext>
                      </a:extLst>
                    </pic:cNvPr>
                    <pic:cNvPicPr>
                      <a:picLocks noChangeAspect="1"/>
                    </pic:cNvPicPr>
                  </pic:nvPicPr>
                  <pic:blipFill>
                    <a:blip r:embed="rId9"/>
                    <a:stretch>
                      <a:fillRect/>
                    </a:stretch>
                  </pic:blipFill>
                  <pic:spPr>
                    <a:xfrm>
                      <a:off x="0" y="0"/>
                      <a:ext cx="5731510" cy="2787015"/>
                    </a:xfrm>
                    <a:prstGeom prst="rect">
                      <a:avLst/>
                    </a:prstGeom>
                  </pic:spPr>
                </pic:pic>
              </a:graphicData>
            </a:graphic>
          </wp:inline>
        </w:drawing>
      </w:r>
    </w:p>
    <w:p w14:paraId="24486A44" w14:textId="77777777" w:rsidR="001F4624" w:rsidRDefault="001F4624" w:rsidP="008F4ECF">
      <w:pPr>
        <w:pStyle w:val="ListNumber2"/>
        <w:numPr>
          <w:ilvl w:val="0"/>
          <w:numId w:val="0"/>
        </w:numPr>
        <w:rPr>
          <w:rFonts w:ascii="Arial" w:hAnsi="Arial" w:cs="Arial"/>
          <w:b/>
        </w:rPr>
      </w:pPr>
    </w:p>
    <w:p w14:paraId="4472B636" w14:textId="0921747E" w:rsidR="00324934" w:rsidRPr="001F4624" w:rsidRDefault="00324934" w:rsidP="008F4ECF">
      <w:pPr>
        <w:pStyle w:val="ListNumber2"/>
        <w:numPr>
          <w:ilvl w:val="0"/>
          <w:numId w:val="0"/>
        </w:numPr>
        <w:rPr>
          <w:highlight w:val="yellow"/>
        </w:rPr>
      </w:pPr>
      <w:r w:rsidRPr="00324934">
        <w:rPr>
          <w:rFonts w:ascii="Arial" w:hAnsi="Arial" w:cs="Arial"/>
          <w:b/>
        </w:rPr>
        <w:t xml:space="preserve">Figure </w:t>
      </w:r>
      <w:r w:rsidR="001F4624">
        <w:rPr>
          <w:rFonts w:ascii="Arial" w:hAnsi="Arial" w:cs="Arial"/>
          <w:b/>
        </w:rPr>
        <w:t>3</w:t>
      </w:r>
      <w:r w:rsidRPr="00324934">
        <w:rPr>
          <w:rFonts w:ascii="Arial" w:hAnsi="Arial" w:cs="Arial"/>
          <w:b/>
        </w:rPr>
        <w:t>: Mortality moving range chart</w:t>
      </w:r>
    </w:p>
    <w:p w14:paraId="16C53951" w14:textId="1258BE1C" w:rsidR="006F6C65" w:rsidRDefault="005B3B13" w:rsidP="00460EB5">
      <w:pPr>
        <w:pStyle w:val="ListNumber2"/>
        <w:numPr>
          <w:ilvl w:val="0"/>
          <w:numId w:val="0"/>
        </w:numPr>
        <w:rPr>
          <w:highlight w:val="yellow"/>
        </w:rPr>
      </w:pPr>
      <w:r w:rsidRPr="005B3B13">
        <w:rPr>
          <w:noProof/>
        </w:rPr>
        <w:drawing>
          <wp:inline distT="0" distB="0" distL="0" distR="0" wp14:anchorId="25975713" wp14:editId="06D04D5D">
            <wp:extent cx="5731510" cy="9626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962660"/>
                    </a:xfrm>
                    <a:prstGeom prst="rect">
                      <a:avLst/>
                    </a:prstGeom>
                  </pic:spPr>
                </pic:pic>
              </a:graphicData>
            </a:graphic>
          </wp:inline>
        </w:drawing>
      </w:r>
    </w:p>
    <w:p w14:paraId="71820139" w14:textId="77777777" w:rsidR="001F4624" w:rsidRPr="001F4624" w:rsidRDefault="001F4624" w:rsidP="00460EB5">
      <w:pPr>
        <w:pStyle w:val="ListNumber2"/>
        <w:numPr>
          <w:ilvl w:val="0"/>
          <w:numId w:val="0"/>
        </w:numPr>
        <w:rPr>
          <w:highlight w:val="yellow"/>
        </w:rPr>
      </w:pPr>
    </w:p>
    <w:p w14:paraId="415C7228" w14:textId="2D971550" w:rsidR="006E6EE0" w:rsidRDefault="006E6EE0" w:rsidP="006E6EE0">
      <w:pPr>
        <w:pStyle w:val="ListNumber2"/>
        <w:numPr>
          <w:ilvl w:val="0"/>
          <w:numId w:val="0"/>
        </w:numPr>
        <w:rPr>
          <w:rFonts w:ascii="Arial" w:hAnsi="Arial" w:cs="Arial"/>
        </w:rPr>
      </w:pPr>
      <w:bookmarkStart w:id="0" w:name="_Hlk202939970"/>
      <w:r>
        <w:rPr>
          <w:rFonts w:ascii="Arial" w:hAnsi="Arial" w:cs="Arial"/>
        </w:rPr>
        <w:t>3.1 Month by month, mortality rates have continued to fluctuate, with the number of deaths reported in Q1 lower than in Q4 2024/25. The Trust continue to explore the differences in mortality rates. Retrospective reporting (as data is pulled by death reported date) can have an impact on increased numbers. The trust are also considering seasonal variation, reporting culture and reviewing data by date of death.</w:t>
      </w:r>
      <w:r w:rsidR="00F91DC3">
        <w:rPr>
          <w:rFonts w:ascii="Arial" w:hAnsi="Arial" w:cs="Arial"/>
        </w:rPr>
        <w:t xml:space="preserve"> Efforts continue to </w:t>
      </w:r>
      <w:r w:rsidR="00995747">
        <w:rPr>
          <w:rFonts w:ascii="Arial" w:hAnsi="Arial" w:cs="Arial"/>
        </w:rPr>
        <w:t xml:space="preserve">be made to </w:t>
      </w:r>
      <w:r w:rsidR="00F91DC3">
        <w:rPr>
          <w:rFonts w:ascii="Arial" w:hAnsi="Arial" w:cs="Arial"/>
        </w:rPr>
        <w:t>link in with neighbouring organisations to compare mortality numbers.</w:t>
      </w:r>
    </w:p>
    <w:p w14:paraId="12944CCA" w14:textId="77777777" w:rsidR="006E6EE0" w:rsidRDefault="006E6EE0" w:rsidP="006E6EE0">
      <w:pPr>
        <w:pStyle w:val="ListNumber2"/>
        <w:numPr>
          <w:ilvl w:val="0"/>
          <w:numId w:val="0"/>
        </w:numPr>
        <w:rPr>
          <w:rFonts w:ascii="Arial" w:hAnsi="Arial" w:cs="Arial"/>
        </w:rPr>
      </w:pPr>
    </w:p>
    <w:p w14:paraId="5E529635" w14:textId="076F73DA" w:rsidR="006E6EE0" w:rsidRDefault="006E6EE0" w:rsidP="006E6EE0">
      <w:pPr>
        <w:pStyle w:val="ListNumber2"/>
        <w:numPr>
          <w:ilvl w:val="0"/>
          <w:numId w:val="0"/>
        </w:numPr>
        <w:rPr>
          <w:rFonts w:ascii="Arial" w:hAnsi="Arial" w:cs="Arial"/>
        </w:rPr>
      </w:pPr>
      <w:r>
        <w:rPr>
          <w:rFonts w:ascii="Arial" w:hAnsi="Arial" w:cs="Arial"/>
        </w:rPr>
        <w:t>3.2 73% of deaths reported in Q1 were patients who were over the age of 70 years, and who died of a natural cause or where the death was expected.</w:t>
      </w:r>
    </w:p>
    <w:p w14:paraId="21594B45" w14:textId="77777777" w:rsidR="006E6EE0" w:rsidRDefault="006E6EE0" w:rsidP="006E6EE0">
      <w:pPr>
        <w:pStyle w:val="ListNumber2"/>
        <w:numPr>
          <w:ilvl w:val="0"/>
          <w:numId w:val="0"/>
        </w:numPr>
        <w:rPr>
          <w:rFonts w:ascii="Arial" w:hAnsi="Arial" w:cs="Arial"/>
        </w:rPr>
      </w:pPr>
    </w:p>
    <w:p w14:paraId="79A94BA3" w14:textId="18196FD0" w:rsidR="006E6EE0" w:rsidRDefault="006E6EE0" w:rsidP="006E6EE0">
      <w:pPr>
        <w:pStyle w:val="ListNumber2"/>
        <w:numPr>
          <w:ilvl w:val="0"/>
          <w:numId w:val="0"/>
        </w:numPr>
        <w:rPr>
          <w:rFonts w:ascii="Arial" w:hAnsi="Arial" w:cs="Arial"/>
        </w:rPr>
      </w:pPr>
      <w:r>
        <w:rPr>
          <w:rFonts w:ascii="Arial" w:hAnsi="Arial" w:cs="Arial"/>
        </w:rPr>
        <w:t>3.3 Unexpected deaths reported in Q1 were higher than those categorised as expected. The majority of unexpected deaths reported were sub categorised as cause of death unknown, no care and service delivery issues identified</w:t>
      </w:r>
      <w:r w:rsidR="00995747">
        <w:rPr>
          <w:rFonts w:ascii="Arial" w:hAnsi="Arial" w:cs="Arial"/>
        </w:rPr>
        <w:t>,</w:t>
      </w:r>
      <w:r>
        <w:rPr>
          <w:rFonts w:ascii="Arial" w:hAnsi="Arial" w:cs="Arial"/>
        </w:rPr>
        <w:t xml:space="preserve"> and patients were over the age of 70 at the time of death. It is not unusual for there to be higher numbers of unexpected deaths. This is because it is not always possible for our services to obtain or confirm a cause of death. This can be for a number of reasons, including the patients place of residence, or the cause of death not being listed within shared healthcare records.</w:t>
      </w:r>
    </w:p>
    <w:p w14:paraId="6EC7A78B" w14:textId="77777777" w:rsidR="006E6EE0" w:rsidRDefault="006E6EE0" w:rsidP="006E6EE0">
      <w:pPr>
        <w:pStyle w:val="ListNumber2"/>
        <w:numPr>
          <w:ilvl w:val="0"/>
          <w:numId w:val="0"/>
        </w:numPr>
        <w:rPr>
          <w:rFonts w:ascii="Arial" w:hAnsi="Arial" w:cs="Arial"/>
        </w:rPr>
      </w:pPr>
    </w:p>
    <w:p w14:paraId="7C737F18" w14:textId="22E3388F" w:rsidR="006E6EE0" w:rsidRDefault="006E6EE0" w:rsidP="006E6EE0">
      <w:pPr>
        <w:pStyle w:val="ListNumber2"/>
        <w:numPr>
          <w:ilvl w:val="0"/>
          <w:numId w:val="0"/>
        </w:numPr>
        <w:rPr>
          <w:rFonts w:ascii="Arial" w:hAnsi="Arial" w:cs="Arial"/>
        </w:rPr>
      </w:pPr>
      <w:r>
        <w:rPr>
          <w:rFonts w:ascii="Arial" w:hAnsi="Arial" w:cs="Arial"/>
        </w:rPr>
        <w:t>3.4 Those that are pending investigation either relate to an incident where there is an ongoing investigation or review, or where (mostly) the team investigation and learning page is yet to be completed.</w:t>
      </w:r>
    </w:p>
    <w:p w14:paraId="01FD900F" w14:textId="2D6FD56C" w:rsidR="00995747" w:rsidRDefault="00995747" w:rsidP="006E6EE0">
      <w:pPr>
        <w:pStyle w:val="ListNumber2"/>
        <w:numPr>
          <w:ilvl w:val="0"/>
          <w:numId w:val="0"/>
        </w:numPr>
        <w:rPr>
          <w:rFonts w:ascii="Arial" w:hAnsi="Arial" w:cs="Arial"/>
        </w:rPr>
      </w:pPr>
    </w:p>
    <w:p w14:paraId="0D066777" w14:textId="79D1369F" w:rsidR="00324934" w:rsidRDefault="00995747" w:rsidP="00460EB5">
      <w:pPr>
        <w:pStyle w:val="ListNumber2"/>
        <w:numPr>
          <w:ilvl w:val="0"/>
          <w:numId w:val="0"/>
        </w:numPr>
        <w:rPr>
          <w:rFonts w:ascii="Arial" w:hAnsi="Arial" w:cs="Arial"/>
        </w:rPr>
      </w:pPr>
      <w:r>
        <w:rPr>
          <w:rFonts w:ascii="Arial" w:hAnsi="Arial" w:cs="Arial"/>
        </w:rPr>
        <w:t>3.5 There was one homicide reported in Q1. This was managed through the Immediate Management Review (IMR) process</w:t>
      </w:r>
      <w:bookmarkEnd w:id="0"/>
      <w:r>
        <w:rPr>
          <w:rFonts w:ascii="Arial" w:hAnsi="Arial" w:cs="Arial"/>
        </w:rPr>
        <w:t>.</w:t>
      </w:r>
    </w:p>
    <w:p w14:paraId="6A296A3F" w14:textId="77777777" w:rsidR="00995747" w:rsidRDefault="00995747" w:rsidP="00460EB5">
      <w:pPr>
        <w:pStyle w:val="ListNumber2"/>
        <w:numPr>
          <w:ilvl w:val="0"/>
          <w:numId w:val="0"/>
        </w:numPr>
        <w:rPr>
          <w:rFonts w:ascii="Arial" w:hAnsi="Arial" w:cs="Arial"/>
        </w:rPr>
      </w:pPr>
    </w:p>
    <w:p w14:paraId="43486BB2" w14:textId="4B2F6876" w:rsidR="00324934" w:rsidRPr="00324934" w:rsidRDefault="00324934" w:rsidP="00324934">
      <w:pPr>
        <w:pStyle w:val="ListNumber2"/>
        <w:numPr>
          <w:ilvl w:val="0"/>
          <w:numId w:val="0"/>
        </w:numPr>
        <w:spacing w:after="0"/>
        <w:rPr>
          <w:rFonts w:ascii="Arial" w:hAnsi="Arial" w:cs="Arial"/>
          <w:b/>
        </w:rPr>
      </w:pPr>
      <w:r w:rsidRPr="00324934">
        <w:rPr>
          <w:rFonts w:ascii="Arial" w:hAnsi="Arial" w:cs="Arial"/>
          <w:b/>
        </w:rPr>
        <w:t xml:space="preserve">Figure </w:t>
      </w:r>
      <w:r w:rsidR="00474AC2">
        <w:rPr>
          <w:rFonts w:ascii="Arial" w:hAnsi="Arial" w:cs="Arial"/>
          <w:b/>
        </w:rPr>
        <w:t xml:space="preserve">4: </w:t>
      </w:r>
      <w:r w:rsidRPr="00324934">
        <w:rPr>
          <w:rFonts w:ascii="Arial" w:hAnsi="Arial" w:cs="Arial"/>
          <w:b/>
        </w:rPr>
        <w:t>Death/unexpected death in Q4 2024/25</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0"/>
        <w:gridCol w:w="2280"/>
      </w:tblGrid>
      <w:tr w:rsidR="001266D9" w:rsidRPr="001266D9" w14:paraId="00ADEB37" w14:textId="77777777" w:rsidTr="001266D9">
        <w:trPr>
          <w:trHeight w:val="290"/>
        </w:trPr>
        <w:tc>
          <w:tcPr>
            <w:tcW w:w="7360" w:type="dxa"/>
            <w:shd w:val="clear" w:color="auto" w:fill="DBE5F1" w:themeFill="accent1" w:themeFillTint="33"/>
            <w:noWrap/>
            <w:vAlign w:val="bottom"/>
            <w:hideMark/>
          </w:tcPr>
          <w:p w14:paraId="54E2DF8C" w14:textId="77777777" w:rsidR="001266D9" w:rsidRPr="001266D9" w:rsidRDefault="001266D9" w:rsidP="001266D9">
            <w:pPr>
              <w:spacing w:after="0" w:line="240" w:lineRule="auto"/>
              <w:rPr>
                <w:rFonts w:ascii="Arial" w:eastAsia="Times New Roman" w:hAnsi="Arial" w:cs="Arial"/>
                <w:b/>
                <w:color w:val="000000"/>
                <w:lang w:eastAsia="en-GB"/>
              </w:rPr>
            </w:pPr>
            <w:r w:rsidRPr="001266D9">
              <w:rPr>
                <w:rFonts w:ascii="Arial" w:eastAsia="Times New Roman" w:hAnsi="Arial" w:cs="Arial"/>
                <w:b/>
                <w:color w:val="000000"/>
                <w:lang w:eastAsia="en-GB"/>
              </w:rPr>
              <w:t>Death (Expected Death)</w:t>
            </w:r>
          </w:p>
        </w:tc>
        <w:tc>
          <w:tcPr>
            <w:tcW w:w="2280" w:type="dxa"/>
            <w:shd w:val="clear" w:color="auto" w:fill="DBE5F1" w:themeFill="accent1" w:themeFillTint="33"/>
            <w:noWrap/>
            <w:vAlign w:val="bottom"/>
            <w:hideMark/>
          </w:tcPr>
          <w:p w14:paraId="1EA6D108" w14:textId="103E5931" w:rsidR="001266D9" w:rsidRPr="001266D9" w:rsidRDefault="005B3B13" w:rsidP="001266D9">
            <w:pPr>
              <w:spacing w:after="0" w:line="240" w:lineRule="auto"/>
              <w:jc w:val="right"/>
              <w:rPr>
                <w:rFonts w:ascii="Arial" w:eastAsia="Times New Roman" w:hAnsi="Arial" w:cs="Arial"/>
                <w:b/>
                <w:color w:val="000000"/>
                <w:lang w:eastAsia="en-GB"/>
              </w:rPr>
            </w:pPr>
            <w:r>
              <w:rPr>
                <w:rFonts w:ascii="Arial" w:eastAsia="Times New Roman" w:hAnsi="Arial" w:cs="Arial"/>
                <w:b/>
                <w:color w:val="000000"/>
                <w:lang w:eastAsia="en-GB"/>
              </w:rPr>
              <w:t>200</w:t>
            </w:r>
          </w:p>
        </w:tc>
      </w:tr>
      <w:tr w:rsidR="001266D9" w:rsidRPr="001266D9" w14:paraId="11489880" w14:textId="77777777" w:rsidTr="001266D9">
        <w:trPr>
          <w:trHeight w:val="290"/>
        </w:trPr>
        <w:tc>
          <w:tcPr>
            <w:tcW w:w="7360" w:type="dxa"/>
            <w:shd w:val="clear" w:color="auto" w:fill="auto"/>
            <w:noWrap/>
            <w:vAlign w:val="bottom"/>
            <w:hideMark/>
          </w:tcPr>
          <w:p w14:paraId="2B253F26"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Expected death within an Acute Trust unrelated to mental health</w:t>
            </w:r>
          </w:p>
        </w:tc>
        <w:tc>
          <w:tcPr>
            <w:tcW w:w="2280" w:type="dxa"/>
            <w:shd w:val="clear" w:color="auto" w:fill="auto"/>
            <w:noWrap/>
            <w:vAlign w:val="bottom"/>
            <w:hideMark/>
          </w:tcPr>
          <w:p w14:paraId="4EF4680D" w14:textId="7FD3EB8E" w:rsidR="001266D9" w:rsidRPr="001266D9" w:rsidRDefault="001266D9" w:rsidP="001266D9">
            <w:pPr>
              <w:spacing w:after="0" w:line="240" w:lineRule="auto"/>
              <w:jc w:val="right"/>
              <w:rPr>
                <w:rFonts w:ascii="Arial" w:eastAsia="Times New Roman" w:hAnsi="Arial" w:cs="Arial"/>
                <w:color w:val="000000"/>
                <w:lang w:eastAsia="en-GB"/>
              </w:rPr>
            </w:pPr>
            <w:r w:rsidRPr="001266D9">
              <w:rPr>
                <w:rFonts w:ascii="Arial" w:eastAsia="Times New Roman" w:hAnsi="Arial" w:cs="Arial"/>
                <w:color w:val="000000"/>
                <w:lang w:eastAsia="en-GB"/>
              </w:rPr>
              <w:t>7</w:t>
            </w:r>
            <w:r w:rsidR="005B3B13">
              <w:rPr>
                <w:rFonts w:ascii="Arial" w:eastAsia="Times New Roman" w:hAnsi="Arial" w:cs="Arial"/>
                <w:color w:val="000000"/>
                <w:lang w:eastAsia="en-GB"/>
              </w:rPr>
              <w:t>7</w:t>
            </w:r>
          </w:p>
        </w:tc>
      </w:tr>
      <w:tr w:rsidR="001266D9" w:rsidRPr="001266D9" w14:paraId="495BE01D" w14:textId="77777777" w:rsidTr="001266D9">
        <w:trPr>
          <w:trHeight w:val="290"/>
        </w:trPr>
        <w:tc>
          <w:tcPr>
            <w:tcW w:w="7360" w:type="dxa"/>
            <w:shd w:val="clear" w:color="auto" w:fill="auto"/>
            <w:noWrap/>
            <w:vAlign w:val="bottom"/>
            <w:hideMark/>
          </w:tcPr>
          <w:p w14:paraId="290F1329"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Natural causes</w:t>
            </w:r>
          </w:p>
        </w:tc>
        <w:tc>
          <w:tcPr>
            <w:tcW w:w="2280" w:type="dxa"/>
            <w:shd w:val="clear" w:color="auto" w:fill="auto"/>
            <w:noWrap/>
            <w:vAlign w:val="bottom"/>
            <w:hideMark/>
          </w:tcPr>
          <w:p w14:paraId="425EC943" w14:textId="470C2456"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22</w:t>
            </w:r>
          </w:p>
        </w:tc>
      </w:tr>
      <w:tr w:rsidR="001266D9" w:rsidRPr="001266D9" w14:paraId="5CFCD0F6" w14:textId="77777777" w:rsidTr="001266D9">
        <w:trPr>
          <w:trHeight w:val="290"/>
        </w:trPr>
        <w:tc>
          <w:tcPr>
            <w:tcW w:w="7360" w:type="dxa"/>
            <w:shd w:val="clear" w:color="auto" w:fill="auto"/>
            <w:noWrap/>
            <w:vAlign w:val="bottom"/>
            <w:hideMark/>
          </w:tcPr>
          <w:p w14:paraId="64B18B07"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On end of life / palliative care unrelated to mental health</w:t>
            </w:r>
          </w:p>
        </w:tc>
        <w:tc>
          <w:tcPr>
            <w:tcW w:w="2280" w:type="dxa"/>
            <w:shd w:val="clear" w:color="auto" w:fill="auto"/>
            <w:noWrap/>
            <w:vAlign w:val="bottom"/>
            <w:hideMark/>
          </w:tcPr>
          <w:p w14:paraId="0A2F8B39" w14:textId="58FE202E"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101</w:t>
            </w:r>
          </w:p>
        </w:tc>
      </w:tr>
      <w:tr w:rsidR="001266D9" w:rsidRPr="001266D9" w14:paraId="23595B0D" w14:textId="77777777" w:rsidTr="001266D9">
        <w:trPr>
          <w:trHeight w:val="290"/>
        </w:trPr>
        <w:tc>
          <w:tcPr>
            <w:tcW w:w="7360" w:type="dxa"/>
            <w:shd w:val="clear" w:color="auto" w:fill="DBE5F1" w:themeFill="accent1" w:themeFillTint="33"/>
            <w:noWrap/>
            <w:vAlign w:val="bottom"/>
            <w:hideMark/>
          </w:tcPr>
          <w:p w14:paraId="69E9639A" w14:textId="77777777" w:rsidR="001266D9" w:rsidRPr="001266D9" w:rsidRDefault="001266D9" w:rsidP="001266D9">
            <w:pPr>
              <w:spacing w:after="0" w:line="240" w:lineRule="auto"/>
              <w:rPr>
                <w:rFonts w:ascii="Arial" w:eastAsia="Times New Roman" w:hAnsi="Arial" w:cs="Arial"/>
                <w:b/>
                <w:color w:val="000000"/>
                <w:lang w:eastAsia="en-GB"/>
              </w:rPr>
            </w:pPr>
            <w:r w:rsidRPr="001266D9">
              <w:rPr>
                <w:rFonts w:ascii="Arial" w:eastAsia="Times New Roman" w:hAnsi="Arial" w:cs="Arial"/>
                <w:b/>
                <w:color w:val="000000"/>
                <w:lang w:eastAsia="en-GB"/>
              </w:rPr>
              <w:t>Death (Unexpected Death)</w:t>
            </w:r>
          </w:p>
        </w:tc>
        <w:tc>
          <w:tcPr>
            <w:tcW w:w="2280" w:type="dxa"/>
            <w:shd w:val="clear" w:color="auto" w:fill="DBE5F1" w:themeFill="accent1" w:themeFillTint="33"/>
            <w:noWrap/>
            <w:vAlign w:val="bottom"/>
            <w:hideMark/>
          </w:tcPr>
          <w:p w14:paraId="399EFCE9" w14:textId="76748524" w:rsidR="001266D9" w:rsidRPr="001266D9" w:rsidRDefault="00474AC2" w:rsidP="001266D9">
            <w:pPr>
              <w:spacing w:after="0" w:line="240" w:lineRule="auto"/>
              <w:jc w:val="right"/>
              <w:rPr>
                <w:rFonts w:ascii="Arial" w:eastAsia="Times New Roman" w:hAnsi="Arial" w:cs="Arial"/>
                <w:b/>
                <w:color w:val="000000"/>
                <w:lang w:eastAsia="en-GB"/>
              </w:rPr>
            </w:pPr>
            <w:r>
              <w:rPr>
                <w:rFonts w:ascii="Arial" w:eastAsia="Times New Roman" w:hAnsi="Arial" w:cs="Arial"/>
                <w:b/>
                <w:color w:val="000000"/>
                <w:lang w:eastAsia="en-GB"/>
              </w:rPr>
              <w:t>211</w:t>
            </w:r>
          </w:p>
        </w:tc>
      </w:tr>
      <w:tr w:rsidR="001266D9" w:rsidRPr="001266D9" w14:paraId="4508DA9D" w14:textId="77777777" w:rsidTr="001266D9">
        <w:trPr>
          <w:trHeight w:val="290"/>
        </w:trPr>
        <w:tc>
          <w:tcPr>
            <w:tcW w:w="7360" w:type="dxa"/>
            <w:shd w:val="clear" w:color="auto" w:fill="auto"/>
            <w:noWrap/>
            <w:vAlign w:val="bottom"/>
            <w:hideMark/>
          </w:tcPr>
          <w:p w14:paraId="3606C47C"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Cause of death unknown, care and service delivery issues identified</w:t>
            </w:r>
          </w:p>
        </w:tc>
        <w:tc>
          <w:tcPr>
            <w:tcW w:w="2280" w:type="dxa"/>
            <w:shd w:val="clear" w:color="auto" w:fill="auto"/>
            <w:noWrap/>
            <w:vAlign w:val="bottom"/>
            <w:hideMark/>
          </w:tcPr>
          <w:p w14:paraId="3CAC9CD1" w14:textId="6A280927"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4</w:t>
            </w:r>
          </w:p>
        </w:tc>
      </w:tr>
      <w:tr w:rsidR="001266D9" w:rsidRPr="001266D9" w14:paraId="1BCA7A36" w14:textId="77777777" w:rsidTr="001266D9">
        <w:trPr>
          <w:trHeight w:val="290"/>
        </w:trPr>
        <w:tc>
          <w:tcPr>
            <w:tcW w:w="7360" w:type="dxa"/>
            <w:shd w:val="clear" w:color="auto" w:fill="auto"/>
            <w:noWrap/>
            <w:vAlign w:val="bottom"/>
            <w:hideMark/>
          </w:tcPr>
          <w:p w14:paraId="7FB786F5"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Cause of death unknown, no care and service delivery issues identified</w:t>
            </w:r>
          </w:p>
        </w:tc>
        <w:tc>
          <w:tcPr>
            <w:tcW w:w="2280" w:type="dxa"/>
            <w:shd w:val="clear" w:color="auto" w:fill="auto"/>
            <w:noWrap/>
            <w:vAlign w:val="bottom"/>
            <w:hideMark/>
          </w:tcPr>
          <w:p w14:paraId="3EC1619C" w14:textId="08B2696D"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151</w:t>
            </w:r>
          </w:p>
        </w:tc>
      </w:tr>
      <w:tr w:rsidR="001266D9" w:rsidRPr="001266D9" w14:paraId="2A343076" w14:textId="77777777" w:rsidTr="001266D9">
        <w:trPr>
          <w:trHeight w:val="290"/>
        </w:trPr>
        <w:tc>
          <w:tcPr>
            <w:tcW w:w="7360" w:type="dxa"/>
            <w:shd w:val="clear" w:color="auto" w:fill="auto"/>
            <w:noWrap/>
            <w:vAlign w:val="bottom"/>
            <w:hideMark/>
          </w:tcPr>
          <w:p w14:paraId="41BF299B"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Drug / alcohol related death</w:t>
            </w:r>
          </w:p>
        </w:tc>
        <w:tc>
          <w:tcPr>
            <w:tcW w:w="2280" w:type="dxa"/>
            <w:shd w:val="clear" w:color="auto" w:fill="auto"/>
            <w:noWrap/>
            <w:vAlign w:val="bottom"/>
            <w:hideMark/>
          </w:tcPr>
          <w:p w14:paraId="5DABFDCB" w14:textId="3F832EE6"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w:t>
            </w:r>
          </w:p>
        </w:tc>
      </w:tr>
      <w:tr w:rsidR="001266D9" w:rsidRPr="001266D9" w14:paraId="2DAD299A" w14:textId="77777777" w:rsidTr="001266D9">
        <w:trPr>
          <w:trHeight w:val="290"/>
        </w:trPr>
        <w:tc>
          <w:tcPr>
            <w:tcW w:w="7360" w:type="dxa"/>
            <w:shd w:val="clear" w:color="auto" w:fill="auto"/>
            <w:noWrap/>
            <w:vAlign w:val="bottom"/>
            <w:hideMark/>
          </w:tcPr>
          <w:p w14:paraId="2F33DEEF"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Natural causes</w:t>
            </w:r>
          </w:p>
        </w:tc>
        <w:tc>
          <w:tcPr>
            <w:tcW w:w="2280" w:type="dxa"/>
            <w:shd w:val="clear" w:color="auto" w:fill="auto"/>
            <w:noWrap/>
            <w:vAlign w:val="bottom"/>
            <w:hideMark/>
          </w:tcPr>
          <w:p w14:paraId="73FC35E9" w14:textId="67A94535"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22</w:t>
            </w:r>
          </w:p>
        </w:tc>
      </w:tr>
      <w:tr w:rsidR="001266D9" w:rsidRPr="001266D9" w14:paraId="6000A2A5" w14:textId="77777777" w:rsidTr="001266D9">
        <w:trPr>
          <w:trHeight w:val="290"/>
        </w:trPr>
        <w:tc>
          <w:tcPr>
            <w:tcW w:w="7360" w:type="dxa"/>
            <w:shd w:val="clear" w:color="auto" w:fill="auto"/>
            <w:noWrap/>
            <w:vAlign w:val="bottom"/>
            <w:hideMark/>
          </w:tcPr>
          <w:p w14:paraId="6721B975"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Pending investigation</w:t>
            </w:r>
          </w:p>
        </w:tc>
        <w:tc>
          <w:tcPr>
            <w:tcW w:w="2280" w:type="dxa"/>
            <w:shd w:val="clear" w:color="auto" w:fill="auto"/>
            <w:noWrap/>
            <w:vAlign w:val="bottom"/>
            <w:hideMark/>
          </w:tcPr>
          <w:p w14:paraId="13D4A668" w14:textId="5FC908AE"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18</w:t>
            </w:r>
          </w:p>
        </w:tc>
      </w:tr>
      <w:tr w:rsidR="001266D9" w:rsidRPr="001266D9" w14:paraId="65115EB5" w14:textId="77777777" w:rsidTr="001266D9">
        <w:trPr>
          <w:trHeight w:val="290"/>
        </w:trPr>
        <w:tc>
          <w:tcPr>
            <w:tcW w:w="7360" w:type="dxa"/>
            <w:shd w:val="clear" w:color="auto" w:fill="auto"/>
            <w:noWrap/>
            <w:vAlign w:val="bottom"/>
            <w:hideMark/>
          </w:tcPr>
          <w:p w14:paraId="136C7CFE" w14:textId="77777777" w:rsidR="001266D9" w:rsidRPr="001266D9" w:rsidRDefault="001266D9" w:rsidP="001266D9">
            <w:pPr>
              <w:spacing w:after="0" w:line="240" w:lineRule="auto"/>
              <w:ind w:firstLineChars="100" w:firstLine="220"/>
              <w:rPr>
                <w:rFonts w:ascii="Arial" w:eastAsia="Times New Roman" w:hAnsi="Arial" w:cs="Arial"/>
                <w:color w:val="000000"/>
                <w:lang w:eastAsia="en-GB"/>
              </w:rPr>
            </w:pPr>
            <w:r w:rsidRPr="001266D9">
              <w:rPr>
                <w:rFonts w:ascii="Arial" w:eastAsia="Times New Roman" w:hAnsi="Arial" w:cs="Arial"/>
                <w:color w:val="000000"/>
                <w:lang w:eastAsia="en-GB"/>
              </w:rPr>
              <w:t>Suspected or actual suicide</w:t>
            </w:r>
          </w:p>
        </w:tc>
        <w:tc>
          <w:tcPr>
            <w:tcW w:w="2280" w:type="dxa"/>
            <w:shd w:val="clear" w:color="auto" w:fill="auto"/>
            <w:noWrap/>
            <w:vAlign w:val="bottom"/>
            <w:hideMark/>
          </w:tcPr>
          <w:p w14:paraId="4403E913" w14:textId="5A957D90" w:rsidR="001266D9"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14</w:t>
            </w:r>
          </w:p>
        </w:tc>
      </w:tr>
      <w:tr w:rsidR="005B3B13" w:rsidRPr="001266D9" w14:paraId="3FF27091" w14:textId="77777777" w:rsidTr="001266D9">
        <w:trPr>
          <w:trHeight w:val="290"/>
        </w:trPr>
        <w:tc>
          <w:tcPr>
            <w:tcW w:w="7360" w:type="dxa"/>
            <w:shd w:val="clear" w:color="auto" w:fill="auto"/>
            <w:noWrap/>
            <w:vAlign w:val="bottom"/>
          </w:tcPr>
          <w:p w14:paraId="11AC6C34" w14:textId="711E406E" w:rsidR="005B3B13" w:rsidRPr="001266D9" w:rsidRDefault="005B3B13" w:rsidP="001266D9">
            <w:pPr>
              <w:spacing w:after="0" w:line="240" w:lineRule="auto"/>
              <w:ind w:firstLineChars="100" w:firstLine="220"/>
              <w:rPr>
                <w:rFonts w:ascii="Arial" w:eastAsia="Times New Roman" w:hAnsi="Arial" w:cs="Arial"/>
                <w:color w:val="000000"/>
                <w:lang w:eastAsia="en-GB"/>
              </w:rPr>
            </w:pPr>
            <w:r>
              <w:rPr>
                <w:rFonts w:ascii="Arial" w:eastAsia="Times New Roman" w:hAnsi="Arial" w:cs="Arial"/>
                <w:color w:val="000000"/>
                <w:lang w:eastAsia="en-GB"/>
              </w:rPr>
              <w:t>Homicide</w:t>
            </w:r>
          </w:p>
        </w:tc>
        <w:tc>
          <w:tcPr>
            <w:tcW w:w="2280" w:type="dxa"/>
            <w:shd w:val="clear" w:color="auto" w:fill="auto"/>
            <w:noWrap/>
            <w:vAlign w:val="bottom"/>
          </w:tcPr>
          <w:p w14:paraId="1EBFD245" w14:textId="309AB5B9" w:rsidR="005B3B13" w:rsidRPr="001266D9" w:rsidRDefault="005B3B13" w:rsidP="001266D9">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w:t>
            </w:r>
          </w:p>
        </w:tc>
      </w:tr>
      <w:tr w:rsidR="001266D9" w:rsidRPr="001266D9" w14:paraId="4863852B" w14:textId="77777777" w:rsidTr="001266D9">
        <w:trPr>
          <w:trHeight w:val="290"/>
        </w:trPr>
        <w:tc>
          <w:tcPr>
            <w:tcW w:w="7360" w:type="dxa"/>
            <w:shd w:val="clear" w:color="auto" w:fill="DBE5F1" w:themeFill="accent1" w:themeFillTint="33"/>
            <w:noWrap/>
            <w:vAlign w:val="bottom"/>
            <w:hideMark/>
          </w:tcPr>
          <w:p w14:paraId="666B39AA" w14:textId="4CB28657" w:rsidR="001266D9" w:rsidRPr="001266D9" w:rsidRDefault="001266D9" w:rsidP="001266D9">
            <w:pPr>
              <w:spacing w:after="0" w:line="240" w:lineRule="auto"/>
              <w:rPr>
                <w:rFonts w:ascii="Arial" w:eastAsia="Times New Roman" w:hAnsi="Arial" w:cs="Arial"/>
                <w:b/>
                <w:color w:val="000000"/>
                <w:lang w:eastAsia="en-GB"/>
              </w:rPr>
            </w:pPr>
            <w:r w:rsidRPr="001266D9">
              <w:rPr>
                <w:rFonts w:ascii="Arial" w:eastAsia="Times New Roman" w:hAnsi="Arial" w:cs="Arial"/>
                <w:b/>
                <w:color w:val="000000"/>
                <w:lang w:eastAsia="en-GB"/>
              </w:rPr>
              <w:t>Total</w:t>
            </w:r>
          </w:p>
        </w:tc>
        <w:tc>
          <w:tcPr>
            <w:tcW w:w="2280" w:type="dxa"/>
            <w:shd w:val="clear" w:color="auto" w:fill="DBE5F1" w:themeFill="accent1" w:themeFillTint="33"/>
            <w:noWrap/>
            <w:vAlign w:val="bottom"/>
            <w:hideMark/>
          </w:tcPr>
          <w:p w14:paraId="3A902EE3" w14:textId="5C05EB7D" w:rsidR="001266D9" w:rsidRPr="001266D9" w:rsidRDefault="005B3B13" w:rsidP="001266D9">
            <w:pPr>
              <w:spacing w:after="0" w:line="240" w:lineRule="auto"/>
              <w:jc w:val="right"/>
              <w:rPr>
                <w:rFonts w:ascii="Arial" w:eastAsia="Times New Roman" w:hAnsi="Arial" w:cs="Arial"/>
                <w:b/>
                <w:color w:val="000000"/>
                <w:lang w:eastAsia="en-GB"/>
              </w:rPr>
            </w:pPr>
            <w:r>
              <w:rPr>
                <w:rFonts w:ascii="Arial" w:eastAsia="Times New Roman" w:hAnsi="Arial" w:cs="Arial"/>
                <w:b/>
                <w:color w:val="000000"/>
                <w:lang w:eastAsia="en-GB"/>
              </w:rPr>
              <w:t>411</w:t>
            </w:r>
          </w:p>
        </w:tc>
      </w:tr>
    </w:tbl>
    <w:p w14:paraId="0640CB72" w14:textId="77777777" w:rsidR="00253EE5" w:rsidRDefault="00253EE5" w:rsidP="003A3700">
      <w:pPr>
        <w:pStyle w:val="NormalWeb"/>
        <w:rPr>
          <w:rFonts w:ascii="Arial" w:hAnsi="Arial" w:cs="Arial"/>
          <w:b/>
          <w:color w:val="000000"/>
          <w:sz w:val="22"/>
          <w:szCs w:val="22"/>
        </w:rPr>
      </w:pPr>
    </w:p>
    <w:p w14:paraId="132A361E" w14:textId="77777777" w:rsidR="00253EE5" w:rsidRDefault="00253EE5" w:rsidP="003A3700">
      <w:pPr>
        <w:pStyle w:val="NormalWeb"/>
        <w:rPr>
          <w:rFonts w:ascii="Arial" w:hAnsi="Arial" w:cs="Arial"/>
          <w:b/>
          <w:color w:val="000000"/>
          <w:sz w:val="22"/>
          <w:szCs w:val="22"/>
        </w:rPr>
      </w:pPr>
    </w:p>
    <w:p w14:paraId="4A7D3BCC" w14:textId="0DFBF27C" w:rsidR="00670FFC" w:rsidRDefault="00460EB5" w:rsidP="003A3700">
      <w:pPr>
        <w:pStyle w:val="NormalWeb"/>
        <w:rPr>
          <w:rFonts w:ascii="Arial" w:hAnsi="Arial" w:cs="Arial"/>
          <w:b/>
          <w:color w:val="000000"/>
          <w:sz w:val="22"/>
          <w:szCs w:val="22"/>
        </w:rPr>
      </w:pPr>
      <w:r>
        <w:rPr>
          <w:rFonts w:ascii="Arial" w:hAnsi="Arial" w:cs="Arial"/>
          <w:b/>
          <w:color w:val="000000"/>
          <w:sz w:val="22"/>
          <w:szCs w:val="22"/>
        </w:rPr>
        <w:t xml:space="preserve">Figure </w:t>
      </w:r>
      <w:r w:rsidR="00A9138E">
        <w:rPr>
          <w:rFonts w:ascii="Arial" w:hAnsi="Arial" w:cs="Arial"/>
          <w:b/>
          <w:color w:val="000000"/>
          <w:sz w:val="22"/>
          <w:szCs w:val="22"/>
        </w:rPr>
        <w:t>5</w:t>
      </w:r>
      <w:r>
        <w:rPr>
          <w:rFonts w:ascii="Arial" w:hAnsi="Arial" w:cs="Arial"/>
          <w:b/>
          <w:color w:val="000000"/>
          <w:sz w:val="22"/>
          <w:szCs w:val="22"/>
        </w:rPr>
        <w:t>:</w:t>
      </w:r>
      <w:r w:rsidR="00E82DE6">
        <w:rPr>
          <w:rFonts w:ascii="Arial" w:hAnsi="Arial" w:cs="Arial"/>
          <w:b/>
          <w:color w:val="000000"/>
          <w:sz w:val="22"/>
          <w:szCs w:val="22"/>
        </w:rPr>
        <w:t xml:space="preserve"> </w:t>
      </w:r>
      <w:r w:rsidR="00E84B16">
        <w:rPr>
          <w:rFonts w:ascii="Arial" w:hAnsi="Arial" w:cs="Arial"/>
          <w:b/>
          <w:color w:val="000000"/>
          <w:sz w:val="22"/>
          <w:szCs w:val="22"/>
        </w:rPr>
        <w:t>A</w:t>
      </w:r>
      <w:r w:rsidR="00E84B16" w:rsidRPr="00522CC2">
        <w:rPr>
          <w:rFonts w:ascii="Arial" w:hAnsi="Arial" w:cs="Arial"/>
          <w:b/>
          <w:color w:val="000000"/>
          <w:sz w:val="22"/>
          <w:szCs w:val="22"/>
        </w:rPr>
        <w:t xml:space="preserve">ll reported </w:t>
      </w:r>
      <w:r w:rsidR="00E84B16">
        <w:rPr>
          <w:rFonts w:ascii="Arial" w:hAnsi="Arial" w:cs="Arial"/>
          <w:b/>
          <w:color w:val="000000"/>
          <w:sz w:val="22"/>
          <w:szCs w:val="22"/>
        </w:rPr>
        <w:t xml:space="preserve">mortality incidents </w:t>
      </w:r>
      <w:r w:rsidR="00E84B16" w:rsidRPr="00522CC2">
        <w:rPr>
          <w:rFonts w:ascii="Arial" w:hAnsi="Arial" w:cs="Arial"/>
          <w:b/>
          <w:color w:val="000000"/>
          <w:sz w:val="22"/>
          <w:szCs w:val="22"/>
        </w:rPr>
        <w:t>within KMPT by gender of patient</w:t>
      </w:r>
      <w:r w:rsidR="003A3700">
        <w:rPr>
          <w:rFonts w:ascii="Arial" w:hAnsi="Arial" w:cs="Arial"/>
          <w:b/>
          <w:color w:val="000000"/>
          <w:sz w:val="22"/>
          <w:szCs w:val="22"/>
        </w:rPr>
        <w:t>s</w:t>
      </w:r>
    </w:p>
    <w:p w14:paraId="34A5E857" w14:textId="2E134F83" w:rsidR="00670FFC" w:rsidRPr="00A32242" w:rsidRDefault="00D02D09" w:rsidP="003A3700">
      <w:pPr>
        <w:pStyle w:val="NormalWeb"/>
        <w:rPr>
          <w:rFonts w:ascii="Arial" w:hAnsi="Arial" w:cs="Arial"/>
          <w:b/>
          <w:color w:val="000000"/>
          <w:sz w:val="20"/>
          <w:szCs w:val="20"/>
        </w:rPr>
      </w:pPr>
      <w:r>
        <w:rPr>
          <w:noProof/>
        </w:rPr>
        <w:drawing>
          <wp:inline distT="0" distB="0" distL="0" distR="0" wp14:anchorId="35DE266A" wp14:editId="0EEC7406">
            <wp:extent cx="5731510" cy="1642110"/>
            <wp:effectExtent l="0" t="0" r="2540" b="15240"/>
            <wp:docPr id="5" name="Chart 5">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A2E782" w14:textId="77777777" w:rsidR="00670FFC" w:rsidRDefault="00670FFC" w:rsidP="003A3700">
      <w:pPr>
        <w:pStyle w:val="NormalWeb"/>
        <w:rPr>
          <w:rFonts w:ascii="Arial" w:hAnsi="Arial" w:cs="Arial"/>
          <w:b/>
          <w:color w:val="000000"/>
          <w:sz w:val="22"/>
          <w:szCs w:val="22"/>
        </w:rPr>
      </w:pPr>
    </w:p>
    <w:p w14:paraId="16BDCBC5" w14:textId="4576C812" w:rsidR="002B0BA5" w:rsidRDefault="00A32242" w:rsidP="00460EB5">
      <w:pPr>
        <w:pStyle w:val="NormalWeb"/>
        <w:tabs>
          <w:tab w:val="left" w:pos="426"/>
        </w:tabs>
        <w:rPr>
          <w:rFonts w:ascii="Arial" w:hAnsi="Arial" w:cs="Arial"/>
          <w:color w:val="000000"/>
          <w:sz w:val="22"/>
          <w:szCs w:val="22"/>
        </w:rPr>
      </w:pPr>
      <w:r w:rsidRPr="005F2D34">
        <w:rPr>
          <w:rFonts w:ascii="Arial" w:hAnsi="Arial" w:cs="Arial"/>
          <w:color w:val="000000"/>
          <w:sz w:val="22"/>
          <w:szCs w:val="22"/>
        </w:rPr>
        <w:t>3.</w:t>
      </w:r>
      <w:r w:rsidR="00995747">
        <w:rPr>
          <w:rFonts w:ascii="Arial" w:hAnsi="Arial" w:cs="Arial"/>
          <w:color w:val="000000"/>
          <w:sz w:val="22"/>
          <w:szCs w:val="22"/>
        </w:rPr>
        <w:t>6</w:t>
      </w:r>
      <w:r w:rsidRPr="005F2D34">
        <w:rPr>
          <w:rFonts w:ascii="Arial" w:hAnsi="Arial" w:cs="Arial"/>
          <w:color w:val="000000"/>
          <w:sz w:val="22"/>
          <w:szCs w:val="22"/>
        </w:rPr>
        <w:t xml:space="preserve"> </w:t>
      </w:r>
      <w:r w:rsidR="00A9138E">
        <w:rPr>
          <w:rFonts w:ascii="Arial" w:hAnsi="Arial" w:cs="Arial"/>
          <w:color w:val="000000"/>
          <w:sz w:val="22"/>
          <w:szCs w:val="22"/>
        </w:rPr>
        <w:t>The Office for National Statistics (ONS) annual data, states that mortality is higher in males than in females. Trust data mirrors this finding. There are no indications that further exploration is required at this stage.</w:t>
      </w:r>
    </w:p>
    <w:p w14:paraId="379BAB1B" w14:textId="69FFF56F" w:rsidR="00A0048A" w:rsidRDefault="00A0048A" w:rsidP="00E03CBA">
      <w:pPr>
        <w:pStyle w:val="NormalWeb"/>
        <w:tabs>
          <w:tab w:val="left" w:pos="426"/>
        </w:tabs>
        <w:rPr>
          <w:rFonts w:ascii="Arial" w:hAnsi="Arial" w:cs="Arial"/>
          <w:color w:val="000000"/>
          <w:sz w:val="22"/>
          <w:szCs w:val="22"/>
        </w:rPr>
      </w:pPr>
    </w:p>
    <w:p w14:paraId="574AC967" w14:textId="71E99A71" w:rsidR="00A0048A" w:rsidRDefault="00A0048A" w:rsidP="00A0048A">
      <w:pPr>
        <w:pStyle w:val="NormalWeb"/>
        <w:ind w:left="426" w:hanging="426"/>
        <w:rPr>
          <w:rFonts w:ascii="Arial" w:hAnsi="Arial" w:cs="Arial"/>
          <w:color w:val="000000"/>
          <w:sz w:val="22"/>
          <w:szCs w:val="22"/>
        </w:rPr>
      </w:pPr>
      <w:r w:rsidRPr="00AF7213">
        <w:rPr>
          <w:rFonts w:ascii="Arial" w:hAnsi="Arial" w:cs="Arial"/>
          <w:b/>
          <w:color w:val="000000"/>
          <w:sz w:val="22"/>
          <w:szCs w:val="22"/>
        </w:rPr>
        <w:t>Mortality review by ethnicity</w:t>
      </w:r>
      <w:r w:rsidRPr="00AF7213">
        <w:rPr>
          <w:rFonts w:ascii="Arial" w:hAnsi="Arial" w:cs="Arial"/>
          <w:color w:val="000000"/>
          <w:sz w:val="22"/>
          <w:szCs w:val="22"/>
        </w:rPr>
        <w:t xml:space="preserve"> </w:t>
      </w:r>
    </w:p>
    <w:p w14:paraId="603CD42E" w14:textId="247B1DED" w:rsidR="00A71697" w:rsidRDefault="00460EB5" w:rsidP="00EC63C0">
      <w:pPr>
        <w:pStyle w:val="NormalWeb"/>
        <w:ind w:left="426" w:hanging="426"/>
        <w:rPr>
          <w:rFonts w:ascii="Arial" w:hAnsi="Arial" w:cs="Arial"/>
          <w:b/>
          <w:color w:val="000000"/>
          <w:sz w:val="22"/>
          <w:szCs w:val="22"/>
          <w:lang w:eastAsia="en-US"/>
        </w:rPr>
      </w:pPr>
      <w:r>
        <w:rPr>
          <w:rFonts w:ascii="Arial" w:hAnsi="Arial" w:cs="Arial"/>
          <w:b/>
          <w:color w:val="000000"/>
          <w:sz w:val="22"/>
          <w:szCs w:val="22"/>
          <w:lang w:eastAsia="en-US"/>
        </w:rPr>
        <w:t xml:space="preserve">Figure </w:t>
      </w:r>
      <w:r w:rsidR="00A9138E">
        <w:rPr>
          <w:rFonts w:ascii="Arial" w:hAnsi="Arial" w:cs="Arial"/>
          <w:b/>
          <w:color w:val="000000"/>
          <w:sz w:val="22"/>
          <w:szCs w:val="22"/>
          <w:lang w:eastAsia="en-US"/>
        </w:rPr>
        <w:t>6</w:t>
      </w:r>
      <w:r>
        <w:rPr>
          <w:rFonts w:ascii="Arial" w:hAnsi="Arial" w:cs="Arial"/>
          <w:b/>
          <w:color w:val="000000"/>
          <w:sz w:val="22"/>
          <w:szCs w:val="22"/>
          <w:lang w:eastAsia="en-US"/>
        </w:rPr>
        <w:t>:</w:t>
      </w:r>
      <w:r w:rsidR="00A0048A">
        <w:rPr>
          <w:rFonts w:ascii="Arial" w:hAnsi="Arial" w:cs="Arial"/>
          <w:b/>
          <w:color w:val="000000"/>
          <w:sz w:val="22"/>
          <w:szCs w:val="22"/>
          <w:lang w:eastAsia="en-US"/>
        </w:rPr>
        <w:t xml:space="preserve"> Deaths by ethnicity</w:t>
      </w:r>
    </w:p>
    <w:tbl>
      <w:tblPr>
        <w:tblW w:w="5588" w:type="pct"/>
        <w:tblInd w:w="-1144" w:type="dxa"/>
        <w:tblLook w:val="04A0" w:firstRow="1" w:lastRow="0" w:firstColumn="1" w:lastColumn="0" w:noHBand="0" w:noVBand="1"/>
      </w:tblPr>
      <w:tblGrid>
        <w:gridCol w:w="5784"/>
        <w:gridCol w:w="770"/>
        <w:gridCol w:w="770"/>
        <w:gridCol w:w="770"/>
        <w:gridCol w:w="770"/>
        <w:gridCol w:w="770"/>
        <w:gridCol w:w="516"/>
      </w:tblGrid>
      <w:tr w:rsidR="00D02D09" w:rsidRPr="00D02D09" w14:paraId="3EEBA57C" w14:textId="77777777" w:rsidTr="00A9138E">
        <w:trPr>
          <w:trHeight w:val="300"/>
        </w:trPr>
        <w:tc>
          <w:tcPr>
            <w:tcW w:w="2873" w:type="pct"/>
            <w:tcBorders>
              <w:top w:val="single" w:sz="8" w:space="0" w:color="000000"/>
              <w:left w:val="single" w:sz="8" w:space="0" w:color="000000"/>
              <w:bottom w:val="single" w:sz="8" w:space="0" w:color="000000"/>
              <w:right w:val="single" w:sz="8" w:space="0" w:color="000000"/>
            </w:tcBorders>
            <w:shd w:val="clear" w:color="000000" w:fill="AFC6DB"/>
            <w:noWrap/>
            <w:vAlign w:val="center"/>
            <w:hideMark/>
          </w:tcPr>
          <w:p w14:paraId="3D6E14BB" w14:textId="77777777" w:rsidR="00D02D09" w:rsidRPr="00D02D09" w:rsidRDefault="00D02D09" w:rsidP="00D02D09">
            <w:pPr>
              <w:spacing w:after="0" w:line="240" w:lineRule="auto"/>
              <w:rPr>
                <w:rFonts w:ascii="Arial" w:eastAsia="Times New Roman" w:hAnsi="Arial" w:cs="Arial"/>
                <w:color w:val="000000"/>
                <w:lang w:eastAsia="en-GB"/>
              </w:rPr>
            </w:pPr>
            <w:r w:rsidRPr="00D02D09">
              <w:rPr>
                <w:rFonts w:ascii="Arial" w:eastAsia="Times New Roman" w:hAnsi="Arial" w:cs="Arial"/>
                <w:color w:val="000000"/>
                <w:lang w:eastAsia="en-GB"/>
              </w:rPr>
              <w:t> </w:t>
            </w:r>
          </w:p>
        </w:tc>
        <w:tc>
          <w:tcPr>
            <w:tcW w:w="383" w:type="pct"/>
            <w:tcBorders>
              <w:top w:val="single" w:sz="8" w:space="0" w:color="000000"/>
              <w:left w:val="nil"/>
              <w:bottom w:val="single" w:sz="8" w:space="0" w:color="000000"/>
              <w:right w:val="single" w:sz="8" w:space="0" w:color="000000"/>
            </w:tcBorders>
            <w:shd w:val="clear" w:color="000000" w:fill="162D54"/>
            <w:noWrap/>
            <w:vAlign w:val="center"/>
            <w:hideMark/>
          </w:tcPr>
          <w:p w14:paraId="431E1B61"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24/25 Q1</w:t>
            </w:r>
          </w:p>
        </w:tc>
        <w:tc>
          <w:tcPr>
            <w:tcW w:w="383" w:type="pct"/>
            <w:tcBorders>
              <w:top w:val="single" w:sz="8" w:space="0" w:color="000000"/>
              <w:left w:val="nil"/>
              <w:bottom w:val="single" w:sz="8" w:space="0" w:color="000000"/>
              <w:right w:val="single" w:sz="8" w:space="0" w:color="000000"/>
            </w:tcBorders>
            <w:shd w:val="clear" w:color="000000" w:fill="162D54"/>
            <w:noWrap/>
            <w:vAlign w:val="center"/>
            <w:hideMark/>
          </w:tcPr>
          <w:p w14:paraId="750D4315"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24/25 Q2</w:t>
            </w:r>
          </w:p>
        </w:tc>
        <w:tc>
          <w:tcPr>
            <w:tcW w:w="383" w:type="pct"/>
            <w:tcBorders>
              <w:top w:val="single" w:sz="8" w:space="0" w:color="000000"/>
              <w:left w:val="nil"/>
              <w:bottom w:val="single" w:sz="8" w:space="0" w:color="000000"/>
              <w:right w:val="single" w:sz="8" w:space="0" w:color="000000"/>
            </w:tcBorders>
            <w:shd w:val="clear" w:color="000000" w:fill="162D54"/>
            <w:noWrap/>
            <w:vAlign w:val="center"/>
            <w:hideMark/>
          </w:tcPr>
          <w:p w14:paraId="18D37D95"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24/25 Q3</w:t>
            </w:r>
          </w:p>
        </w:tc>
        <w:tc>
          <w:tcPr>
            <w:tcW w:w="383" w:type="pct"/>
            <w:tcBorders>
              <w:top w:val="single" w:sz="8" w:space="0" w:color="000000"/>
              <w:left w:val="nil"/>
              <w:bottom w:val="single" w:sz="8" w:space="0" w:color="000000"/>
              <w:right w:val="single" w:sz="8" w:space="0" w:color="000000"/>
            </w:tcBorders>
            <w:shd w:val="clear" w:color="000000" w:fill="162D54"/>
            <w:noWrap/>
            <w:vAlign w:val="center"/>
            <w:hideMark/>
          </w:tcPr>
          <w:p w14:paraId="048587D6"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24/25 Q4</w:t>
            </w:r>
          </w:p>
        </w:tc>
        <w:tc>
          <w:tcPr>
            <w:tcW w:w="383" w:type="pct"/>
            <w:tcBorders>
              <w:top w:val="single" w:sz="8" w:space="0" w:color="000000"/>
              <w:left w:val="nil"/>
              <w:bottom w:val="single" w:sz="8" w:space="0" w:color="000000"/>
              <w:right w:val="single" w:sz="8" w:space="0" w:color="000000"/>
            </w:tcBorders>
            <w:shd w:val="clear" w:color="000000" w:fill="162D54"/>
            <w:noWrap/>
            <w:vAlign w:val="center"/>
            <w:hideMark/>
          </w:tcPr>
          <w:p w14:paraId="11B8D3E4"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 xml:space="preserve">25/26 Q1 </w:t>
            </w:r>
          </w:p>
        </w:tc>
        <w:tc>
          <w:tcPr>
            <w:tcW w:w="214" w:type="pct"/>
            <w:tcBorders>
              <w:top w:val="single" w:sz="8" w:space="0" w:color="000000"/>
              <w:left w:val="nil"/>
              <w:bottom w:val="single" w:sz="8" w:space="0" w:color="000000"/>
              <w:right w:val="single" w:sz="8" w:space="0" w:color="000000"/>
            </w:tcBorders>
            <w:shd w:val="clear" w:color="000000" w:fill="162D54"/>
            <w:noWrap/>
            <w:vAlign w:val="center"/>
            <w:hideMark/>
          </w:tcPr>
          <w:p w14:paraId="7AA59FAD"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Total</w:t>
            </w:r>
          </w:p>
        </w:tc>
      </w:tr>
      <w:tr w:rsidR="00D02D09" w:rsidRPr="00D02D09" w14:paraId="54F4CD36"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713866C7"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Asian or Asian British - Any other Asian background</w:t>
            </w:r>
          </w:p>
        </w:tc>
        <w:tc>
          <w:tcPr>
            <w:tcW w:w="383" w:type="pct"/>
            <w:tcBorders>
              <w:top w:val="nil"/>
              <w:left w:val="nil"/>
              <w:bottom w:val="single" w:sz="8" w:space="0" w:color="000000"/>
              <w:right w:val="single" w:sz="8" w:space="0" w:color="000000"/>
            </w:tcBorders>
            <w:shd w:val="clear" w:color="auto" w:fill="auto"/>
            <w:noWrap/>
            <w:vAlign w:val="center"/>
            <w:hideMark/>
          </w:tcPr>
          <w:p w14:paraId="1BCBCD3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748D7B31"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72BC056D"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322925E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6F9FD9C5"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214" w:type="pct"/>
            <w:tcBorders>
              <w:top w:val="nil"/>
              <w:left w:val="nil"/>
              <w:bottom w:val="single" w:sz="8" w:space="0" w:color="000000"/>
              <w:right w:val="single" w:sz="8" w:space="0" w:color="000000"/>
            </w:tcBorders>
            <w:shd w:val="clear" w:color="000000" w:fill="AFC6DB"/>
            <w:noWrap/>
            <w:vAlign w:val="center"/>
            <w:hideMark/>
          </w:tcPr>
          <w:p w14:paraId="6272460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r>
      <w:tr w:rsidR="00D02D09" w:rsidRPr="00D02D09" w14:paraId="60F62AC6"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4E716E94"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Asian or Asian British - Bangladeshi</w:t>
            </w:r>
          </w:p>
        </w:tc>
        <w:tc>
          <w:tcPr>
            <w:tcW w:w="383" w:type="pct"/>
            <w:tcBorders>
              <w:top w:val="nil"/>
              <w:left w:val="nil"/>
              <w:bottom w:val="single" w:sz="8" w:space="0" w:color="000000"/>
              <w:right w:val="single" w:sz="8" w:space="0" w:color="000000"/>
            </w:tcBorders>
            <w:shd w:val="clear" w:color="auto" w:fill="auto"/>
            <w:noWrap/>
            <w:vAlign w:val="center"/>
            <w:hideMark/>
          </w:tcPr>
          <w:p w14:paraId="70ABF50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0FE543BA"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6963F309"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3A6F908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6507CF2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214" w:type="pct"/>
            <w:tcBorders>
              <w:top w:val="nil"/>
              <w:left w:val="nil"/>
              <w:bottom w:val="single" w:sz="8" w:space="0" w:color="000000"/>
              <w:right w:val="single" w:sz="8" w:space="0" w:color="000000"/>
            </w:tcBorders>
            <w:shd w:val="clear" w:color="000000" w:fill="AFC6DB"/>
            <w:noWrap/>
            <w:vAlign w:val="center"/>
            <w:hideMark/>
          </w:tcPr>
          <w:p w14:paraId="77A3C62A"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r>
      <w:tr w:rsidR="00D02D09" w:rsidRPr="00D02D09" w14:paraId="17F70B8E"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5ED3CEF6"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Asian or Asian British - Chinese</w:t>
            </w:r>
          </w:p>
        </w:tc>
        <w:tc>
          <w:tcPr>
            <w:tcW w:w="383" w:type="pct"/>
            <w:tcBorders>
              <w:top w:val="nil"/>
              <w:left w:val="nil"/>
              <w:bottom w:val="single" w:sz="8" w:space="0" w:color="000000"/>
              <w:right w:val="single" w:sz="8" w:space="0" w:color="000000"/>
            </w:tcBorders>
            <w:shd w:val="clear" w:color="auto" w:fill="auto"/>
            <w:noWrap/>
            <w:vAlign w:val="center"/>
            <w:hideMark/>
          </w:tcPr>
          <w:p w14:paraId="7EB795D2"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63FB8D0D"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445F1DFD"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100E4CD4"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0FA6134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214" w:type="pct"/>
            <w:tcBorders>
              <w:top w:val="nil"/>
              <w:left w:val="nil"/>
              <w:bottom w:val="single" w:sz="8" w:space="0" w:color="000000"/>
              <w:right w:val="single" w:sz="8" w:space="0" w:color="000000"/>
            </w:tcBorders>
            <w:shd w:val="clear" w:color="000000" w:fill="AFC6DB"/>
            <w:noWrap/>
            <w:vAlign w:val="center"/>
            <w:hideMark/>
          </w:tcPr>
          <w:p w14:paraId="713EF98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r>
      <w:tr w:rsidR="00D02D09" w:rsidRPr="00D02D09" w14:paraId="0BF2B916"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7B830EE3"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Asian or Asian British - Indian</w:t>
            </w:r>
          </w:p>
        </w:tc>
        <w:tc>
          <w:tcPr>
            <w:tcW w:w="383" w:type="pct"/>
            <w:tcBorders>
              <w:top w:val="nil"/>
              <w:left w:val="nil"/>
              <w:bottom w:val="single" w:sz="8" w:space="0" w:color="000000"/>
              <w:right w:val="single" w:sz="8" w:space="0" w:color="000000"/>
            </w:tcBorders>
            <w:shd w:val="clear" w:color="auto" w:fill="auto"/>
            <w:noWrap/>
            <w:vAlign w:val="center"/>
            <w:hideMark/>
          </w:tcPr>
          <w:p w14:paraId="6DDF258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24AFB10B"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0327B65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4</w:t>
            </w:r>
          </w:p>
        </w:tc>
        <w:tc>
          <w:tcPr>
            <w:tcW w:w="383" w:type="pct"/>
            <w:tcBorders>
              <w:top w:val="nil"/>
              <w:left w:val="nil"/>
              <w:bottom w:val="single" w:sz="8" w:space="0" w:color="000000"/>
              <w:right w:val="single" w:sz="8" w:space="0" w:color="000000"/>
            </w:tcBorders>
            <w:shd w:val="clear" w:color="auto" w:fill="auto"/>
            <w:noWrap/>
            <w:vAlign w:val="center"/>
            <w:hideMark/>
          </w:tcPr>
          <w:p w14:paraId="258BA63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797447B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w:t>
            </w:r>
          </w:p>
        </w:tc>
        <w:tc>
          <w:tcPr>
            <w:tcW w:w="214" w:type="pct"/>
            <w:tcBorders>
              <w:top w:val="nil"/>
              <w:left w:val="nil"/>
              <w:bottom w:val="single" w:sz="8" w:space="0" w:color="000000"/>
              <w:right w:val="single" w:sz="8" w:space="0" w:color="000000"/>
            </w:tcBorders>
            <w:shd w:val="clear" w:color="000000" w:fill="AFC6DB"/>
            <w:noWrap/>
            <w:vAlign w:val="center"/>
            <w:hideMark/>
          </w:tcPr>
          <w:p w14:paraId="7CEF85F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12</w:t>
            </w:r>
          </w:p>
        </w:tc>
      </w:tr>
      <w:tr w:rsidR="00D02D09" w:rsidRPr="00D02D09" w14:paraId="06129924"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79B33391"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Asian or Asian British - Pakistani</w:t>
            </w:r>
          </w:p>
        </w:tc>
        <w:tc>
          <w:tcPr>
            <w:tcW w:w="383" w:type="pct"/>
            <w:tcBorders>
              <w:top w:val="nil"/>
              <w:left w:val="nil"/>
              <w:bottom w:val="single" w:sz="8" w:space="0" w:color="000000"/>
              <w:right w:val="single" w:sz="8" w:space="0" w:color="000000"/>
            </w:tcBorders>
            <w:shd w:val="clear" w:color="auto" w:fill="auto"/>
            <w:noWrap/>
            <w:vAlign w:val="center"/>
            <w:hideMark/>
          </w:tcPr>
          <w:p w14:paraId="6ACE32D1"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0380608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6F04FF5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2DC407E4"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546F8FAB"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214" w:type="pct"/>
            <w:tcBorders>
              <w:top w:val="nil"/>
              <w:left w:val="nil"/>
              <w:bottom w:val="single" w:sz="8" w:space="0" w:color="000000"/>
              <w:right w:val="single" w:sz="8" w:space="0" w:color="000000"/>
            </w:tcBorders>
            <w:shd w:val="clear" w:color="000000" w:fill="AFC6DB"/>
            <w:noWrap/>
            <w:vAlign w:val="center"/>
            <w:hideMark/>
          </w:tcPr>
          <w:p w14:paraId="56E764CB"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r>
      <w:tr w:rsidR="00D02D09" w:rsidRPr="00D02D09" w14:paraId="6E4F68D7"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1289A1F1"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Black, African, Caribbean or Black British – African</w:t>
            </w:r>
          </w:p>
        </w:tc>
        <w:tc>
          <w:tcPr>
            <w:tcW w:w="383" w:type="pct"/>
            <w:tcBorders>
              <w:top w:val="nil"/>
              <w:left w:val="nil"/>
              <w:bottom w:val="single" w:sz="8" w:space="0" w:color="000000"/>
              <w:right w:val="single" w:sz="8" w:space="0" w:color="000000"/>
            </w:tcBorders>
            <w:shd w:val="clear" w:color="auto" w:fill="auto"/>
            <w:noWrap/>
            <w:vAlign w:val="center"/>
            <w:hideMark/>
          </w:tcPr>
          <w:p w14:paraId="4516664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075F8A51"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7749FFF1"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6CECBB6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50DF66F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w:t>
            </w:r>
          </w:p>
        </w:tc>
        <w:tc>
          <w:tcPr>
            <w:tcW w:w="214" w:type="pct"/>
            <w:tcBorders>
              <w:top w:val="nil"/>
              <w:left w:val="nil"/>
              <w:bottom w:val="single" w:sz="8" w:space="0" w:color="000000"/>
              <w:right w:val="single" w:sz="8" w:space="0" w:color="000000"/>
            </w:tcBorders>
            <w:shd w:val="clear" w:color="000000" w:fill="AFC6DB"/>
            <w:noWrap/>
            <w:vAlign w:val="center"/>
            <w:hideMark/>
          </w:tcPr>
          <w:p w14:paraId="257E0340"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7</w:t>
            </w:r>
          </w:p>
        </w:tc>
      </w:tr>
      <w:tr w:rsidR="00D02D09" w:rsidRPr="00D02D09" w14:paraId="160A7442"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777601F4"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Black, African, Caribbean or Black British – Caribbean</w:t>
            </w:r>
          </w:p>
        </w:tc>
        <w:tc>
          <w:tcPr>
            <w:tcW w:w="383" w:type="pct"/>
            <w:tcBorders>
              <w:top w:val="nil"/>
              <w:left w:val="nil"/>
              <w:bottom w:val="single" w:sz="8" w:space="0" w:color="000000"/>
              <w:right w:val="single" w:sz="8" w:space="0" w:color="000000"/>
            </w:tcBorders>
            <w:shd w:val="clear" w:color="auto" w:fill="auto"/>
            <w:noWrap/>
            <w:vAlign w:val="center"/>
            <w:hideMark/>
          </w:tcPr>
          <w:p w14:paraId="0535E59B"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7FB61770"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w:t>
            </w:r>
          </w:p>
        </w:tc>
        <w:tc>
          <w:tcPr>
            <w:tcW w:w="383" w:type="pct"/>
            <w:tcBorders>
              <w:top w:val="nil"/>
              <w:left w:val="nil"/>
              <w:bottom w:val="single" w:sz="8" w:space="0" w:color="000000"/>
              <w:right w:val="single" w:sz="8" w:space="0" w:color="000000"/>
            </w:tcBorders>
            <w:shd w:val="clear" w:color="auto" w:fill="auto"/>
            <w:noWrap/>
            <w:vAlign w:val="center"/>
            <w:hideMark/>
          </w:tcPr>
          <w:p w14:paraId="07AE235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3E8F946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253D29A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214" w:type="pct"/>
            <w:tcBorders>
              <w:top w:val="nil"/>
              <w:left w:val="nil"/>
              <w:bottom w:val="single" w:sz="8" w:space="0" w:color="000000"/>
              <w:right w:val="single" w:sz="8" w:space="0" w:color="000000"/>
            </w:tcBorders>
            <w:shd w:val="clear" w:color="000000" w:fill="AFC6DB"/>
            <w:noWrap/>
            <w:vAlign w:val="center"/>
            <w:hideMark/>
          </w:tcPr>
          <w:p w14:paraId="3673DDA3"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5</w:t>
            </w:r>
          </w:p>
        </w:tc>
      </w:tr>
      <w:tr w:rsidR="00D02D09" w:rsidRPr="00D02D09" w14:paraId="2C78263C"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2A1ACABD"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Black, African, Caribbean or Black British - Any other Black, African or Caribbean background</w:t>
            </w:r>
          </w:p>
        </w:tc>
        <w:tc>
          <w:tcPr>
            <w:tcW w:w="383" w:type="pct"/>
            <w:tcBorders>
              <w:top w:val="nil"/>
              <w:left w:val="nil"/>
              <w:bottom w:val="single" w:sz="8" w:space="0" w:color="000000"/>
              <w:right w:val="single" w:sz="8" w:space="0" w:color="000000"/>
            </w:tcBorders>
            <w:shd w:val="clear" w:color="auto" w:fill="auto"/>
            <w:noWrap/>
            <w:vAlign w:val="center"/>
            <w:hideMark/>
          </w:tcPr>
          <w:p w14:paraId="60E0886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20DEC0A6"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1C916E3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123EA3A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081A0050"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214" w:type="pct"/>
            <w:tcBorders>
              <w:top w:val="nil"/>
              <w:left w:val="nil"/>
              <w:bottom w:val="single" w:sz="8" w:space="0" w:color="000000"/>
              <w:right w:val="single" w:sz="8" w:space="0" w:color="000000"/>
            </w:tcBorders>
            <w:shd w:val="clear" w:color="000000" w:fill="AFC6DB"/>
            <w:noWrap/>
            <w:vAlign w:val="center"/>
            <w:hideMark/>
          </w:tcPr>
          <w:p w14:paraId="688AB615"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r>
      <w:tr w:rsidR="00D02D09" w:rsidRPr="00D02D09" w14:paraId="15E5FD22"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185FA723"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Mixed or Multiple groups - White and Asian</w:t>
            </w:r>
          </w:p>
        </w:tc>
        <w:tc>
          <w:tcPr>
            <w:tcW w:w="383" w:type="pct"/>
            <w:tcBorders>
              <w:top w:val="nil"/>
              <w:left w:val="nil"/>
              <w:bottom w:val="single" w:sz="8" w:space="0" w:color="000000"/>
              <w:right w:val="single" w:sz="8" w:space="0" w:color="000000"/>
            </w:tcBorders>
            <w:shd w:val="clear" w:color="auto" w:fill="auto"/>
            <w:noWrap/>
            <w:vAlign w:val="center"/>
            <w:hideMark/>
          </w:tcPr>
          <w:p w14:paraId="289BAD4D"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775436AA"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74C213D6"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547FF12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4B533B1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214" w:type="pct"/>
            <w:tcBorders>
              <w:top w:val="nil"/>
              <w:left w:val="nil"/>
              <w:bottom w:val="single" w:sz="8" w:space="0" w:color="000000"/>
              <w:right w:val="single" w:sz="8" w:space="0" w:color="000000"/>
            </w:tcBorders>
            <w:shd w:val="clear" w:color="000000" w:fill="AFC6DB"/>
            <w:noWrap/>
            <w:vAlign w:val="center"/>
            <w:hideMark/>
          </w:tcPr>
          <w:p w14:paraId="530F881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w:t>
            </w:r>
          </w:p>
        </w:tc>
      </w:tr>
      <w:tr w:rsidR="00D02D09" w:rsidRPr="00D02D09" w14:paraId="2758F457"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332CBC19"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Mixed or Multiple groups - White and Black Caribbean</w:t>
            </w:r>
          </w:p>
        </w:tc>
        <w:tc>
          <w:tcPr>
            <w:tcW w:w="383" w:type="pct"/>
            <w:tcBorders>
              <w:top w:val="nil"/>
              <w:left w:val="nil"/>
              <w:bottom w:val="single" w:sz="8" w:space="0" w:color="000000"/>
              <w:right w:val="single" w:sz="8" w:space="0" w:color="000000"/>
            </w:tcBorders>
            <w:shd w:val="clear" w:color="auto" w:fill="auto"/>
            <w:noWrap/>
            <w:vAlign w:val="center"/>
            <w:hideMark/>
          </w:tcPr>
          <w:p w14:paraId="5638CE24"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5C492AB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7DF8C76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4C06D691"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3D626732"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214" w:type="pct"/>
            <w:tcBorders>
              <w:top w:val="nil"/>
              <w:left w:val="nil"/>
              <w:bottom w:val="single" w:sz="8" w:space="0" w:color="000000"/>
              <w:right w:val="single" w:sz="8" w:space="0" w:color="000000"/>
            </w:tcBorders>
            <w:shd w:val="clear" w:color="000000" w:fill="AFC6DB"/>
            <w:noWrap/>
            <w:vAlign w:val="center"/>
            <w:hideMark/>
          </w:tcPr>
          <w:p w14:paraId="031DBFE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w:t>
            </w:r>
          </w:p>
        </w:tc>
      </w:tr>
      <w:tr w:rsidR="00D02D09" w:rsidRPr="00D02D09" w14:paraId="15E8EB19"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1AA27026"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Mixed or Multiple groups - Any other mixed or multiple ethnic background</w:t>
            </w:r>
          </w:p>
        </w:tc>
        <w:tc>
          <w:tcPr>
            <w:tcW w:w="383" w:type="pct"/>
            <w:tcBorders>
              <w:top w:val="nil"/>
              <w:left w:val="nil"/>
              <w:bottom w:val="single" w:sz="8" w:space="0" w:color="000000"/>
              <w:right w:val="single" w:sz="8" w:space="0" w:color="000000"/>
            </w:tcBorders>
            <w:shd w:val="clear" w:color="auto" w:fill="auto"/>
            <w:noWrap/>
            <w:vAlign w:val="center"/>
            <w:hideMark/>
          </w:tcPr>
          <w:p w14:paraId="64B5114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1165E3A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0CDC7E34"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01E24B44"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616E0FE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214" w:type="pct"/>
            <w:tcBorders>
              <w:top w:val="nil"/>
              <w:left w:val="nil"/>
              <w:bottom w:val="single" w:sz="8" w:space="0" w:color="000000"/>
              <w:right w:val="single" w:sz="8" w:space="0" w:color="000000"/>
            </w:tcBorders>
            <w:shd w:val="clear" w:color="000000" w:fill="AFC6DB"/>
            <w:noWrap/>
            <w:vAlign w:val="center"/>
            <w:hideMark/>
          </w:tcPr>
          <w:p w14:paraId="5665AE9F"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5</w:t>
            </w:r>
          </w:p>
        </w:tc>
      </w:tr>
      <w:tr w:rsidR="00D02D09" w:rsidRPr="00D02D09" w14:paraId="5CEC6FD7"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238FCFB0"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lastRenderedPageBreak/>
              <w:t>Not stated / Unknown</w:t>
            </w:r>
          </w:p>
        </w:tc>
        <w:tc>
          <w:tcPr>
            <w:tcW w:w="383" w:type="pct"/>
            <w:tcBorders>
              <w:top w:val="nil"/>
              <w:left w:val="nil"/>
              <w:bottom w:val="single" w:sz="8" w:space="0" w:color="000000"/>
              <w:right w:val="single" w:sz="8" w:space="0" w:color="000000"/>
            </w:tcBorders>
            <w:shd w:val="clear" w:color="auto" w:fill="auto"/>
            <w:noWrap/>
            <w:vAlign w:val="center"/>
            <w:hideMark/>
          </w:tcPr>
          <w:p w14:paraId="5F1F4FDA"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82</w:t>
            </w:r>
          </w:p>
        </w:tc>
        <w:tc>
          <w:tcPr>
            <w:tcW w:w="383" w:type="pct"/>
            <w:tcBorders>
              <w:top w:val="nil"/>
              <w:left w:val="nil"/>
              <w:bottom w:val="single" w:sz="8" w:space="0" w:color="000000"/>
              <w:right w:val="single" w:sz="8" w:space="0" w:color="000000"/>
            </w:tcBorders>
            <w:shd w:val="clear" w:color="auto" w:fill="auto"/>
            <w:noWrap/>
            <w:vAlign w:val="center"/>
            <w:hideMark/>
          </w:tcPr>
          <w:p w14:paraId="4F4751E2"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62</w:t>
            </w:r>
          </w:p>
        </w:tc>
        <w:tc>
          <w:tcPr>
            <w:tcW w:w="383" w:type="pct"/>
            <w:tcBorders>
              <w:top w:val="nil"/>
              <w:left w:val="nil"/>
              <w:bottom w:val="single" w:sz="8" w:space="0" w:color="000000"/>
              <w:right w:val="single" w:sz="8" w:space="0" w:color="000000"/>
            </w:tcBorders>
            <w:shd w:val="clear" w:color="auto" w:fill="auto"/>
            <w:noWrap/>
            <w:vAlign w:val="center"/>
            <w:hideMark/>
          </w:tcPr>
          <w:p w14:paraId="7E1D3652"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77</w:t>
            </w:r>
          </w:p>
        </w:tc>
        <w:tc>
          <w:tcPr>
            <w:tcW w:w="383" w:type="pct"/>
            <w:tcBorders>
              <w:top w:val="nil"/>
              <w:left w:val="nil"/>
              <w:bottom w:val="single" w:sz="8" w:space="0" w:color="000000"/>
              <w:right w:val="single" w:sz="8" w:space="0" w:color="000000"/>
            </w:tcBorders>
            <w:shd w:val="clear" w:color="auto" w:fill="auto"/>
            <w:noWrap/>
            <w:vAlign w:val="center"/>
            <w:hideMark/>
          </w:tcPr>
          <w:p w14:paraId="41B9E53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116</w:t>
            </w:r>
          </w:p>
        </w:tc>
        <w:tc>
          <w:tcPr>
            <w:tcW w:w="383" w:type="pct"/>
            <w:tcBorders>
              <w:top w:val="nil"/>
              <w:left w:val="nil"/>
              <w:bottom w:val="single" w:sz="8" w:space="0" w:color="000000"/>
              <w:right w:val="single" w:sz="8" w:space="0" w:color="000000"/>
            </w:tcBorders>
            <w:shd w:val="clear" w:color="auto" w:fill="auto"/>
            <w:noWrap/>
            <w:vAlign w:val="center"/>
            <w:hideMark/>
          </w:tcPr>
          <w:p w14:paraId="139B71E2"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88</w:t>
            </w:r>
          </w:p>
        </w:tc>
        <w:tc>
          <w:tcPr>
            <w:tcW w:w="214" w:type="pct"/>
            <w:tcBorders>
              <w:top w:val="nil"/>
              <w:left w:val="nil"/>
              <w:bottom w:val="single" w:sz="8" w:space="0" w:color="000000"/>
              <w:right w:val="single" w:sz="8" w:space="0" w:color="000000"/>
            </w:tcBorders>
            <w:shd w:val="clear" w:color="000000" w:fill="AFC6DB"/>
            <w:noWrap/>
            <w:vAlign w:val="center"/>
            <w:hideMark/>
          </w:tcPr>
          <w:p w14:paraId="4D6CAB1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425</w:t>
            </w:r>
          </w:p>
        </w:tc>
      </w:tr>
      <w:tr w:rsidR="00D02D09" w:rsidRPr="00D02D09" w14:paraId="6115209C"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758B66D1"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White - British</w:t>
            </w:r>
          </w:p>
        </w:tc>
        <w:tc>
          <w:tcPr>
            <w:tcW w:w="383" w:type="pct"/>
            <w:tcBorders>
              <w:top w:val="nil"/>
              <w:left w:val="nil"/>
              <w:bottom w:val="single" w:sz="8" w:space="0" w:color="000000"/>
              <w:right w:val="single" w:sz="8" w:space="0" w:color="000000"/>
            </w:tcBorders>
            <w:shd w:val="clear" w:color="auto" w:fill="auto"/>
            <w:noWrap/>
            <w:vAlign w:val="center"/>
            <w:hideMark/>
          </w:tcPr>
          <w:p w14:paraId="7FF44659"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338</w:t>
            </w:r>
          </w:p>
        </w:tc>
        <w:tc>
          <w:tcPr>
            <w:tcW w:w="383" w:type="pct"/>
            <w:tcBorders>
              <w:top w:val="nil"/>
              <w:left w:val="nil"/>
              <w:bottom w:val="single" w:sz="8" w:space="0" w:color="000000"/>
              <w:right w:val="single" w:sz="8" w:space="0" w:color="000000"/>
            </w:tcBorders>
            <w:shd w:val="clear" w:color="auto" w:fill="auto"/>
            <w:noWrap/>
            <w:vAlign w:val="center"/>
            <w:hideMark/>
          </w:tcPr>
          <w:p w14:paraId="593BD039"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300</w:t>
            </w:r>
          </w:p>
        </w:tc>
        <w:tc>
          <w:tcPr>
            <w:tcW w:w="383" w:type="pct"/>
            <w:tcBorders>
              <w:top w:val="nil"/>
              <w:left w:val="nil"/>
              <w:bottom w:val="single" w:sz="8" w:space="0" w:color="000000"/>
              <w:right w:val="single" w:sz="8" w:space="0" w:color="000000"/>
            </w:tcBorders>
            <w:shd w:val="clear" w:color="auto" w:fill="auto"/>
            <w:noWrap/>
            <w:vAlign w:val="center"/>
            <w:hideMark/>
          </w:tcPr>
          <w:p w14:paraId="66AFF95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286</w:t>
            </w:r>
          </w:p>
        </w:tc>
        <w:tc>
          <w:tcPr>
            <w:tcW w:w="383" w:type="pct"/>
            <w:tcBorders>
              <w:top w:val="nil"/>
              <w:left w:val="nil"/>
              <w:bottom w:val="single" w:sz="8" w:space="0" w:color="000000"/>
              <w:right w:val="single" w:sz="8" w:space="0" w:color="000000"/>
            </w:tcBorders>
            <w:shd w:val="clear" w:color="auto" w:fill="auto"/>
            <w:noWrap/>
            <w:vAlign w:val="center"/>
            <w:hideMark/>
          </w:tcPr>
          <w:p w14:paraId="07FD6842"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375</w:t>
            </w:r>
          </w:p>
        </w:tc>
        <w:tc>
          <w:tcPr>
            <w:tcW w:w="383" w:type="pct"/>
            <w:tcBorders>
              <w:top w:val="nil"/>
              <w:left w:val="nil"/>
              <w:bottom w:val="single" w:sz="8" w:space="0" w:color="000000"/>
              <w:right w:val="single" w:sz="8" w:space="0" w:color="000000"/>
            </w:tcBorders>
            <w:shd w:val="clear" w:color="auto" w:fill="auto"/>
            <w:noWrap/>
            <w:vAlign w:val="center"/>
            <w:hideMark/>
          </w:tcPr>
          <w:p w14:paraId="1F9563CD"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294</w:t>
            </w:r>
          </w:p>
        </w:tc>
        <w:tc>
          <w:tcPr>
            <w:tcW w:w="214" w:type="pct"/>
            <w:tcBorders>
              <w:top w:val="nil"/>
              <w:left w:val="nil"/>
              <w:bottom w:val="single" w:sz="8" w:space="0" w:color="000000"/>
              <w:right w:val="single" w:sz="8" w:space="0" w:color="000000"/>
            </w:tcBorders>
            <w:shd w:val="clear" w:color="000000" w:fill="AFC6DB"/>
            <w:noWrap/>
            <w:vAlign w:val="center"/>
            <w:hideMark/>
          </w:tcPr>
          <w:p w14:paraId="41226F50"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1593</w:t>
            </w:r>
          </w:p>
        </w:tc>
      </w:tr>
      <w:tr w:rsidR="00D02D09" w:rsidRPr="00D02D09" w14:paraId="2711CF2F"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0290E4A1"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White - Irish</w:t>
            </w:r>
          </w:p>
        </w:tc>
        <w:tc>
          <w:tcPr>
            <w:tcW w:w="383" w:type="pct"/>
            <w:tcBorders>
              <w:top w:val="nil"/>
              <w:left w:val="nil"/>
              <w:bottom w:val="single" w:sz="8" w:space="0" w:color="000000"/>
              <w:right w:val="single" w:sz="8" w:space="0" w:color="000000"/>
            </w:tcBorders>
            <w:shd w:val="clear" w:color="auto" w:fill="auto"/>
            <w:noWrap/>
            <w:vAlign w:val="center"/>
            <w:hideMark/>
          </w:tcPr>
          <w:p w14:paraId="0B9FB3CE"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08C1ABFA"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0</w:t>
            </w:r>
          </w:p>
        </w:tc>
        <w:tc>
          <w:tcPr>
            <w:tcW w:w="383" w:type="pct"/>
            <w:tcBorders>
              <w:top w:val="nil"/>
              <w:left w:val="nil"/>
              <w:bottom w:val="single" w:sz="8" w:space="0" w:color="000000"/>
              <w:right w:val="single" w:sz="8" w:space="0" w:color="000000"/>
            </w:tcBorders>
            <w:shd w:val="clear" w:color="auto" w:fill="auto"/>
            <w:noWrap/>
            <w:vAlign w:val="center"/>
            <w:hideMark/>
          </w:tcPr>
          <w:p w14:paraId="08EF3A8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5CA517C6"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448DEBD9"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214" w:type="pct"/>
            <w:tcBorders>
              <w:top w:val="nil"/>
              <w:left w:val="nil"/>
              <w:bottom w:val="single" w:sz="8" w:space="0" w:color="000000"/>
              <w:right w:val="single" w:sz="8" w:space="0" w:color="000000"/>
            </w:tcBorders>
            <w:shd w:val="clear" w:color="000000" w:fill="AFC6DB"/>
            <w:noWrap/>
            <w:vAlign w:val="center"/>
            <w:hideMark/>
          </w:tcPr>
          <w:p w14:paraId="139DC81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5</w:t>
            </w:r>
          </w:p>
        </w:tc>
      </w:tr>
      <w:tr w:rsidR="00D02D09" w:rsidRPr="00D02D09" w14:paraId="5EE45AA6"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244062"/>
            <w:vAlign w:val="bottom"/>
            <w:hideMark/>
          </w:tcPr>
          <w:p w14:paraId="7145F3B8"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Any other ethnic group</w:t>
            </w:r>
          </w:p>
        </w:tc>
        <w:tc>
          <w:tcPr>
            <w:tcW w:w="383" w:type="pct"/>
            <w:tcBorders>
              <w:top w:val="nil"/>
              <w:left w:val="nil"/>
              <w:bottom w:val="single" w:sz="8" w:space="0" w:color="000000"/>
              <w:right w:val="single" w:sz="8" w:space="0" w:color="000000"/>
            </w:tcBorders>
            <w:shd w:val="clear" w:color="auto" w:fill="auto"/>
            <w:noWrap/>
            <w:vAlign w:val="center"/>
            <w:hideMark/>
          </w:tcPr>
          <w:p w14:paraId="23A3DC25"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w:t>
            </w:r>
          </w:p>
        </w:tc>
        <w:tc>
          <w:tcPr>
            <w:tcW w:w="383" w:type="pct"/>
            <w:tcBorders>
              <w:top w:val="nil"/>
              <w:left w:val="nil"/>
              <w:bottom w:val="single" w:sz="8" w:space="0" w:color="000000"/>
              <w:right w:val="single" w:sz="8" w:space="0" w:color="000000"/>
            </w:tcBorders>
            <w:shd w:val="clear" w:color="auto" w:fill="auto"/>
            <w:noWrap/>
            <w:vAlign w:val="center"/>
            <w:hideMark/>
          </w:tcPr>
          <w:p w14:paraId="60414C7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4420111B"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1D3D0D6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10</w:t>
            </w:r>
          </w:p>
        </w:tc>
        <w:tc>
          <w:tcPr>
            <w:tcW w:w="383" w:type="pct"/>
            <w:tcBorders>
              <w:top w:val="nil"/>
              <w:left w:val="nil"/>
              <w:bottom w:val="single" w:sz="8" w:space="0" w:color="000000"/>
              <w:right w:val="single" w:sz="8" w:space="0" w:color="000000"/>
            </w:tcBorders>
            <w:shd w:val="clear" w:color="auto" w:fill="auto"/>
            <w:noWrap/>
            <w:vAlign w:val="center"/>
            <w:hideMark/>
          </w:tcPr>
          <w:p w14:paraId="4A38050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w:t>
            </w:r>
          </w:p>
        </w:tc>
        <w:tc>
          <w:tcPr>
            <w:tcW w:w="214" w:type="pct"/>
            <w:tcBorders>
              <w:top w:val="nil"/>
              <w:left w:val="nil"/>
              <w:bottom w:val="single" w:sz="8" w:space="0" w:color="000000"/>
              <w:right w:val="single" w:sz="8" w:space="0" w:color="000000"/>
            </w:tcBorders>
            <w:shd w:val="clear" w:color="000000" w:fill="AFC6DB"/>
            <w:noWrap/>
            <w:vAlign w:val="center"/>
            <w:hideMark/>
          </w:tcPr>
          <w:p w14:paraId="6225CADD"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18</w:t>
            </w:r>
          </w:p>
        </w:tc>
      </w:tr>
      <w:tr w:rsidR="00D02D09" w:rsidRPr="00D02D09" w14:paraId="1C3BC56F"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79766E63"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White - Any other White background</w:t>
            </w:r>
          </w:p>
        </w:tc>
        <w:tc>
          <w:tcPr>
            <w:tcW w:w="383" w:type="pct"/>
            <w:tcBorders>
              <w:top w:val="nil"/>
              <w:left w:val="nil"/>
              <w:bottom w:val="single" w:sz="8" w:space="0" w:color="000000"/>
              <w:right w:val="single" w:sz="8" w:space="0" w:color="000000"/>
            </w:tcBorders>
            <w:shd w:val="clear" w:color="auto" w:fill="auto"/>
            <w:noWrap/>
            <w:vAlign w:val="center"/>
            <w:hideMark/>
          </w:tcPr>
          <w:p w14:paraId="4F75D53C"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w:t>
            </w:r>
          </w:p>
        </w:tc>
        <w:tc>
          <w:tcPr>
            <w:tcW w:w="383" w:type="pct"/>
            <w:tcBorders>
              <w:top w:val="nil"/>
              <w:left w:val="nil"/>
              <w:bottom w:val="single" w:sz="8" w:space="0" w:color="000000"/>
              <w:right w:val="single" w:sz="8" w:space="0" w:color="000000"/>
            </w:tcBorders>
            <w:shd w:val="clear" w:color="auto" w:fill="auto"/>
            <w:noWrap/>
            <w:vAlign w:val="center"/>
            <w:hideMark/>
          </w:tcPr>
          <w:p w14:paraId="76822FA4"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10</w:t>
            </w:r>
          </w:p>
        </w:tc>
        <w:tc>
          <w:tcPr>
            <w:tcW w:w="383" w:type="pct"/>
            <w:tcBorders>
              <w:top w:val="nil"/>
              <w:left w:val="nil"/>
              <w:bottom w:val="single" w:sz="8" w:space="0" w:color="000000"/>
              <w:right w:val="single" w:sz="8" w:space="0" w:color="000000"/>
            </w:tcBorders>
            <w:shd w:val="clear" w:color="auto" w:fill="auto"/>
            <w:noWrap/>
            <w:vAlign w:val="center"/>
            <w:hideMark/>
          </w:tcPr>
          <w:p w14:paraId="7B6AA66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7</w:t>
            </w:r>
          </w:p>
        </w:tc>
        <w:tc>
          <w:tcPr>
            <w:tcW w:w="383" w:type="pct"/>
            <w:tcBorders>
              <w:top w:val="nil"/>
              <w:left w:val="nil"/>
              <w:bottom w:val="single" w:sz="8" w:space="0" w:color="000000"/>
              <w:right w:val="single" w:sz="8" w:space="0" w:color="000000"/>
            </w:tcBorders>
            <w:shd w:val="clear" w:color="auto" w:fill="auto"/>
            <w:noWrap/>
            <w:vAlign w:val="center"/>
            <w:hideMark/>
          </w:tcPr>
          <w:p w14:paraId="457EB920"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15</w:t>
            </w:r>
          </w:p>
        </w:tc>
        <w:tc>
          <w:tcPr>
            <w:tcW w:w="383" w:type="pct"/>
            <w:tcBorders>
              <w:top w:val="nil"/>
              <w:left w:val="nil"/>
              <w:bottom w:val="single" w:sz="8" w:space="0" w:color="000000"/>
              <w:right w:val="single" w:sz="8" w:space="0" w:color="000000"/>
            </w:tcBorders>
            <w:shd w:val="clear" w:color="auto" w:fill="auto"/>
            <w:noWrap/>
            <w:vAlign w:val="center"/>
            <w:hideMark/>
          </w:tcPr>
          <w:p w14:paraId="2990D645"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14</w:t>
            </w:r>
          </w:p>
        </w:tc>
        <w:tc>
          <w:tcPr>
            <w:tcW w:w="214" w:type="pct"/>
            <w:tcBorders>
              <w:top w:val="nil"/>
              <w:left w:val="nil"/>
              <w:bottom w:val="single" w:sz="8" w:space="0" w:color="000000"/>
              <w:right w:val="single" w:sz="8" w:space="0" w:color="000000"/>
            </w:tcBorders>
            <w:shd w:val="clear" w:color="000000" w:fill="AFC6DB"/>
            <w:noWrap/>
            <w:vAlign w:val="center"/>
            <w:hideMark/>
          </w:tcPr>
          <w:p w14:paraId="3478E025"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48</w:t>
            </w:r>
          </w:p>
        </w:tc>
      </w:tr>
      <w:tr w:rsidR="00D02D09" w:rsidRPr="00D02D09" w14:paraId="1CD8624E" w14:textId="77777777" w:rsidTr="00A9138E">
        <w:trPr>
          <w:trHeight w:val="300"/>
        </w:trPr>
        <w:tc>
          <w:tcPr>
            <w:tcW w:w="2873" w:type="pct"/>
            <w:tcBorders>
              <w:top w:val="nil"/>
              <w:left w:val="single" w:sz="8" w:space="0" w:color="000000"/>
              <w:bottom w:val="single" w:sz="8" w:space="0" w:color="000000"/>
              <w:right w:val="single" w:sz="8" w:space="0" w:color="000000"/>
            </w:tcBorders>
            <w:shd w:val="clear" w:color="000000" w:fill="162D54"/>
            <w:noWrap/>
            <w:vAlign w:val="center"/>
            <w:hideMark/>
          </w:tcPr>
          <w:p w14:paraId="3C11EC92" w14:textId="77777777" w:rsidR="00D02D09" w:rsidRPr="00D02D09" w:rsidRDefault="00D02D09" w:rsidP="00D02D09">
            <w:pPr>
              <w:spacing w:after="0" w:line="240" w:lineRule="auto"/>
              <w:rPr>
                <w:rFonts w:ascii="Arial" w:eastAsia="Times New Roman" w:hAnsi="Arial" w:cs="Arial"/>
                <w:color w:val="FFFFFF"/>
                <w:lang w:eastAsia="en-GB"/>
              </w:rPr>
            </w:pPr>
            <w:r w:rsidRPr="00D02D09">
              <w:rPr>
                <w:rFonts w:ascii="Arial" w:eastAsia="Times New Roman" w:hAnsi="Arial" w:cs="Arial"/>
                <w:color w:val="FFFFFF"/>
                <w:lang w:eastAsia="en-GB"/>
              </w:rPr>
              <w:t>Total</w:t>
            </w:r>
          </w:p>
        </w:tc>
        <w:tc>
          <w:tcPr>
            <w:tcW w:w="383" w:type="pct"/>
            <w:tcBorders>
              <w:top w:val="nil"/>
              <w:left w:val="nil"/>
              <w:bottom w:val="single" w:sz="8" w:space="0" w:color="000000"/>
              <w:right w:val="single" w:sz="8" w:space="0" w:color="000000"/>
            </w:tcBorders>
            <w:shd w:val="clear" w:color="000000" w:fill="AFC6DB"/>
            <w:noWrap/>
            <w:vAlign w:val="center"/>
            <w:hideMark/>
          </w:tcPr>
          <w:p w14:paraId="16AD6E30"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428</w:t>
            </w:r>
          </w:p>
        </w:tc>
        <w:tc>
          <w:tcPr>
            <w:tcW w:w="383" w:type="pct"/>
            <w:tcBorders>
              <w:top w:val="nil"/>
              <w:left w:val="nil"/>
              <w:bottom w:val="single" w:sz="8" w:space="0" w:color="000000"/>
              <w:right w:val="single" w:sz="8" w:space="0" w:color="000000"/>
            </w:tcBorders>
            <w:shd w:val="clear" w:color="000000" w:fill="AFC6DB"/>
            <w:noWrap/>
            <w:vAlign w:val="center"/>
            <w:hideMark/>
          </w:tcPr>
          <w:p w14:paraId="1668F66A"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382</w:t>
            </w:r>
          </w:p>
        </w:tc>
        <w:tc>
          <w:tcPr>
            <w:tcW w:w="383" w:type="pct"/>
            <w:tcBorders>
              <w:top w:val="nil"/>
              <w:left w:val="nil"/>
              <w:bottom w:val="single" w:sz="8" w:space="0" w:color="000000"/>
              <w:right w:val="single" w:sz="8" w:space="0" w:color="000000"/>
            </w:tcBorders>
            <w:shd w:val="clear" w:color="000000" w:fill="AFC6DB"/>
            <w:noWrap/>
            <w:vAlign w:val="center"/>
            <w:hideMark/>
          </w:tcPr>
          <w:p w14:paraId="53C20537"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385</w:t>
            </w:r>
          </w:p>
        </w:tc>
        <w:tc>
          <w:tcPr>
            <w:tcW w:w="383" w:type="pct"/>
            <w:tcBorders>
              <w:top w:val="nil"/>
              <w:left w:val="nil"/>
              <w:bottom w:val="single" w:sz="8" w:space="0" w:color="000000"/>
              <w:right w:val="single" w:sz="8" w:space="0" w:color="000000"/>
            </w:tcBorders>
            <w:shd w:val="clear" w:color="000000" w:fill="AFC6DB"/>
            <w:noWrap/>
            <w:vAlign w:val="center"/>
            <w:hideMark/>
          </w:tcPr>
          <w:p w14:paraId="554EFE79"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526</w:t>
            </w:r>
          </w:p>
        </w:tc>
        <w:tc>
          <w:tcPr>
            <w:tcW w:w="383" w:type="pct"/>
            <w:tcBorders>
              <w:top w:val="nil"/>
              <w:left w:val="nil"/>
              <w:bottom w:val="single" w:sz="8" w:space="0" w:color="000000"/>
              <w:right w:val="single" w:sz="8" w:space="0" w:color="000000"/>
            </w:tcBorders>
            <w:shd w:val="clear" w:color="000000" w:fill="AFC6DB"/>
            <w:noWrap/>
            <w:vAlign w:val="center"/>
            <w:hideMark/>
          </w:tcPr>
          <w:p w14:paraId="52854C96"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411</w:t>
            </w:r>
          </w:p>
        </w:tc>
        <w:tc>
          <w:tcPr>
            <w:tcW w:w="214" w:type="pct"/>
            <w:tcBorders>
              <w:top w:val="nil"/>
              <w:left w:val="nil"/>
              <w:bottom w:val="single" w:sz="8" w:space="0" w:color="000000"/>
              <w:right w:val="single" w:sz="8" w:space="0" w:color="000000"/>
            </w:tcBorders>
            <w:shd w:val="clear" w:color="000000" w:fill="AFC6DB"/>
            <w:noWrap/>
            <w:vAlign w:val="center"/>
            <w:hideMark/>
          </w:tcPr>
          <w:p w14:paraId="5ED7EE28" w14:textId="77777777" w:rsidR="00D02D09" w:rsidRPr="00D02D09" w:rsidRDefault="00D02D09" w:rsidP="00D02D09">
            <w:pPr>
              <w:spacing w:after="0" w:line="240" w:lineRule="auto"/>
              <w:jc w:val="right"/>
              <w:rPr>
                <w:rFonts w:ascii="Arial" w:eastAsia="Times New Roman" w:hAnsi="Arial" w:cs="Arial"/>
                <w:color w:val="000000"/>
                <w:lang w:eastAsia="en-GB"/>
              </w:rPr>
            </w:pPr>
            <w:r w:rsidRPr="00D02D09">
              <w:rPr>
                <w:rFonts w:ascii="Arial" w:eastAsia="Times New Roman" w:hAnsi="Arial" w:cs="Arial"/>
                <w:color w:val="000000"/>
                <w:lang w:eastAsia="en-GB"/>
              </w:rPr>
              <w:t>2132</w:t>
            </w:r>
          </w:p>
        </w:tc>
      </w:tr>
    </w:tbl>
    <w:p w14:paraId="60672520" w14:textId="70081483" w:rsidR="00365285" w:rsidRDefault="00365285" w:rsidP="00E405F2">
      <w:pPr>
        <w:pStyle w:val="NormalWeb"/>
        <w:rPr>
          <w:rFonts w:ascii="Arial" w:hAnsi="Arial" w:cs="Arial"/>
          <w:color w:val="000000"/>
          <w:sz w:val="22"/>
          <w:szCs w:val="22"/>
        </w:rPr>
      </w:pPr>
    </w:p>
    <w:p w14:paraId="4D2BB18B" w14:textId="40B27F81" w:rsidR="00ED3518" w:rsidRDefault="00ED3518" w:rsidP="00E405F2">
      <w:pPr>
        <w:pStyle w:val="NormalWeb"/>
        <w:rPr>
          <w:rFonts w:ascii="Arial" w:hAnsi="Arial" w:cs="Arial"/>
          <w:b/>
          <w:color w:val="000000"/>
          <w:sz w:val="22"/>
          <w:szCs w:val="22"/>
        </w:rPr>
      </w:pPr>
    </w:p>
    <w:p w14:paraId="0107E845" w14:textId="7A33910A" w:rsidR="00365285" w:rsidRPr="00365285" w:rsidRDefault="00365285" w:rsidP="00E405F2">
      <w:pPr>
        <w:pStyle w:val="NormalWeb"/>
        <w:rPr>
          <w:rFonts w:ascii="Arial" w:hAnsi="Arial" w:cs="Arial"/>
          <w:b/>
          <w:color w:val="000000"/>
          <w:sz w:val="22"/>
          <w:szCs w:val="22"/>
        </w:rPr>
      </w:pPr>
      <w:r w:rsidRPr="00365285">
        <w:rPr>
          <w:rFonts w:ascii="Arial" w:hAnsi="Arial" w:cs="Arial"/>
          <w:b/>
          <w:color w:val="000000"/>
          <w:sz w:val="22"/>
          <w:szCs w:val="22"/>
        </w:rPr>
        <w:t xml:space="preserve">Figure </w:t>
      </w:r>
      <w:r w:rsidR="00A9138E">
        <w:rPr>
          <w:rFonts w:ascii="Arial" w:hAnsi="Arial" w:cs="Arial"/>
          <w:b/>
          <w:color w:val="000000"/>
          <w:sz w:val="22"/>
          <w:szCs w:val="22"/>
        </w:rPr>
        <w:t>7</w:t>
      </w:r>
      <w:r w:rsidRPr="00365285">
        <w:rPr>
          <w:rFonts w:ascii="Arial" w:hAnsi="Arial" w:cs="Arial"/>
          <w:b/>
          <w:color w:val="000000"/>
          <w:sz w:val="22"/>
          <w:szCs w:val="22"/>
        </w:rPr>
        <w:t xml:space="preserve">: Ethnicity recording compliance- </w:t>
      </w:r>
      <w:proofErr w:type="spellStart"/>
      <w:r w:rsidRPr="00365285">
        <w:rPr>
          <w:rFonts w:ascii="Arial" w:hAnsi="Arial" w:cs="Arial"/>
          <w:b/>
          <w:color w:val="000000"/>
          <w:sz w:val="22"/>
          <w:szCs w:val="22"/>
        </w:rPr>
        <w:t>InPhase</w:t>
      </w:r>
      <w:proofErr w:type="spellEnd"/>
    </w:p>
    <w:p w14:paraId="214C4845" w14:textId="27E323E1" w:rsidR="00365285" w:rsidRDefault="00A9138E" w:rsidP="00E405F2">
      <w:pPr>
        <w:pStyle w:val="NormalWeb"/>
        <w:rPr>
          <w:rFonts w:ascii="Arial" w:hAnsi="Arial" w:cs="Arial"/>
          <w:color w:val="000000"/>
          <w:sz w:val="22"/>
          <w:szCs w:val="22"/>
        </w:rPr>
      </w:pPr>
      <w:r w:rsidRPr="00A9138E">
        <w:rPr>
          <w:rFonts w:ascii="Arial" w:hAnsi="Arial" w:cs="Arial"/>
          <w:noProof/>
          <w:color w:val="000000"/>
          <w:sz w:val="22"/>
          <w:szCs w:val="22"/>
        </w:rPr>
        <w:drawing>
          <wp:inline distT="0" distB="0" distL="0" distR="0" wp14:anchorId="4FE43EB0" wp14:editId="047825D3">
            <wp:extent cx="5731510" cy="2741930"/>
            <wp:effectExtent l="0" t="0" r="2540" b="1270"/>
            <wp:docPr id="8" name="Picture 1">
              <a:extLst xmlns:a="http://schemas.openxmlformats.org/drawingml/2006/main">
                <a:ext uri="{FF2B5EF4-FFF2-40B4-BE49-F238E27FC236}">
                  <a16:creationId xmlns:a16="http://schemas.microsoft.com/office/drawing/2014/main" id="{C173A563-D93A-4666-A920-B1260F2E4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173A563-D93A-4666-A920-B1260F2E497C}"/>
                        </a:ext>
                      </a:extLst>
                    </pic:cNvPr>
                    <pic:cNvPicPr>
                      <a:picLocks noChangeAspect="1"/>
                    </pic:cNvPicPr>
                  </pic:nvPicPr>
                  <pic:blipFill>
                    <a:blip r:embed="rId12"/>
                    <a:stretch>
                      <a:fillRect/>
                    </a:stretch>
                  </pic:blipFill>
                  <pic:spPr>
                    <a:xfrm>
                      <a:off x="0" y="0"/>
                      <a:ext cx="5731510" cy="2741930"/>
                    </a:xfrm>
                    <a:prstGeom prst="rect">
                      <a:avLst/>
                    </a:prstGeom>
                  </pic:spPr>
                </pic:pic>
              </a:graphicData>
            </a:graphic>
          </wp:inline>
        </w:drawing>
      </w:r>
    </w:p>
    <w:p w14:paraId="05BF424F" w14:textId="77777777" w:rsidR="00365285" w:rsidRDefault="00365285" w:rsidP="00E405F2">
      <w:pPr>
        <w:pStyle w:val="NormalWeb"/>
        <w:rPr>
          <w:rFonts w:ascii="Arial" w:hAnsi="Arial" w:cs="Arial"/>
          <w:color w:val="000000"/>
          <w:sz w:val="22"/>
          <w:szCs w:val="22"/>
        </w:rPr>
      </w:pPr>
    </w:p>
    <w:p w14:paraId="45A2BA9B" w14:textId="2128EF50" w:rsidR="00A9138E" w:rsidRDefault="00A9138E" w:rsidP="00A9138E">
      <w:pPr>
        <w:pStyle w:val="NormalWeb"/>
        <w:rPr>
          <w:rFonts w:ascii="Arial" w:hAnsi="Arial" w:cs="Arial"/>
          <w:color w:val="000000"/>
          <w:sz w:val="22"/>
          <w:szCs w:val="22"/>
        </w:rPr>
      </w:pPr>
      <w:r w:rsidRPr="001A6063">
        <w:rPr>
          <w:rFonts w:ascii="Arial" w:hAnsi="Arial" w:cs="Arial"/>
          <w:color w:val="000000"/>
          <w:sz w:val="22"/>
          <w:szCs w:val="22"/>
        </w:rPr>
        <w:t>3.</w:t>
      </w:r>
      <w:r w:rsidR="00995747">
        <w:rPr>
          <w:rFonts w:ascii="Arial" w:hAnsi="Arial" w:cs="Arial"/>
          <w:color w:val="000000"/>
          <w:sz w:val="22"/>
          <w:szCs w:val="22"/>
        </w:rPr>
        <w:t>7</w:t>
      </w:r>
      <w:r w:rsidR="000828EE">
        <w:rPr>
          <w:rFonts w:ascii="Arial" w:hAnsi="Arial" w:cs="Arial"/>
          <w:color w:val="000000"/>
          <w:sz w:val="22"/>
          <w:szCs w:val="22"/>
        </w:rPr>
        <w:t xml:space="preserve"> </w:t>
      </w:r>
      <w:r w:rsidRPr="001A6063">
        <w:rPr>
          <w:rFonts w:ascii="Arial" w:hAnsi="Arial" w:cs="Arial"/>
          <w:color w:val="000000"/>
          <w:sz w:val="22"/>
          <w:szCs w:val="22"/>
        </w:rPr>
        <w:t xml:space="preserve">The findings regarding ethnicity are unchanged from previous mortality reports. </w:t>
      </w:r>
      <w:r>
        <w:rPr>
          <w:rFonts w:ascii="Arial" w:hAnsi="Arial" w:cs="Arial"/>
          <w:color w:val="000000"/>
          <w:sz w:val="22"/>
          <w:szCs w:val="22"/>
        </w:rPr>
        <w:t xml:space="preserve">71% of patients </w:t>
      </w:r>
      <w:r w:rsidR="006E6EE0">
        <w:rPr>
          <w:rFonts w:ascii="Arial" w:hAnsi="Arial" w:cs="Arial"/>
          <w:color w:val="000000"/>
          <w:sz w:val="22"/>
          <w:szCs w:val="22"/>
        </w:rPr>
        <w:t>are of</w:t>
      </w:r>
      <w:r>
        <w:rPr>
          <w:rFonts w:ascii="Arial" w:hAnsi="Arial" w:cs="Arial"/>
          <w:color w:val="000000"/>
          <w:sz w:val="22"/>
          <w:szCs w:val="22"/>
        </w:rPr>
        <w:t xml:space="preserve"> white-British background, which is consistent with local and national data reports.</w:t>
      </w:r>
    </w:p>
    <w:p w14:paraId="6905086C" w14:textId="77777777" w:rsidR="00A9138E" w:rsidRDefault="00A9138E" w:rsidP="00A9138E">
      <w:pPr>
        <w:pStyle w:val="NormalWeb"/>
        <w:rPr>
          <w:rFonts w:ascii="Arial" w:hAnsi="Arial" w:cs="Arial"/>
          <w:color w:val="000000"/>
          <w:sz w:val="22"/>
          <w:szCs w:val="22"/>
        </w:rPr>
      </w:pPr>
    </w:p>
    <w:p w14:paraId="0121030F" w14:textId="30B32C97" w:rsidR="00A9138E" w:rsidRPr="001A6063" w:rsidRDefault="00A9138E" w:rsidP="00A9138E">
      <w:pPr>
        <w:pStyle w:val="NormalWeb"/>
        <w:rPr>
          <w:rFonts w:ascii="Arial" w:hAnsi="Arial" w:cs="Arial"/>
          <w:color w:val="000000"/>
          <w:sz w:val="22"/>
          <w:szCs w:val="22"/>
        </w:rPr>
      </w:pPr>
      <w:r>
        <w:rPr>
          <w:rFonts w:ascii="Arial" w:hAnsi="Arial" w:cs="Arial"/>
          <w:color w:val="000000"/>
          <w:sz w:val="22"/>
          <w:szCs w:val="22"/>
        </w:rPr>
        <w:t>3.</w:t>
      </w:r>
      <w:r w:rsidR="00995747">
        <w:rPr>
          <w:rFonts w:ascii="Arial" w:hAnsi="Arial" w:cs="Arial"/>
          <w:color w:val="000000"/>
          <w:sz w:val="22"/>
          <w:szCs w:val="22"/>
        </w:rPr>
        <w:t>8</w:t>
      </w:r>
      <w:r>
        <w:rPr>
          <w:rFonts w:ascii="Arial" w:hAnsi="Arial" w:cs="Arial"/>
          <w:color w:val="000000"/>
          <w:sz w:val="22"/>
          <w:szCs w:val="22"/>
        </w:rPr>
        <w:t xml:space="preserve"> There is still little to be understood about deaths of patients of ethnic minority/other ethnic backgrounds. 3% of all deaths reported in Q1 were of patients of ethnic minority. After reviewing the data, it is not possible to identify any commonalities. One of the Trusts strategic objectives is to address health inequalities. This is a new area of focus, but of great importance. The work will explore barriers to people in Kent and Medway accessing mental health support, to ensure that the services we provide meet the needs of the local population.</w:t>
      </w:r>
    </w:p>
    <w:p w14:paraId="6A7F1889" w14:textId="77777777" w:rsidR="00A9138E" w:rsidRPr="00494E52" w:rsidRDefault="00A9138E" w:rsidP="00A9138E">
      <w:pPr>
        <w:pStyle w:val="NormalWeb"/>
        <w:rPr>
          <w:rFonts w:ascii="Arial" w:hAnsi="Arial" w:cs="Arial"/>
          <w:sz w:val="22"/>
          <w:szCs w:val="22"/>
        </w:rPr>
      </w:pPr>
    </w:p>
    <w:p w14:paraId="465D0519" w14:textId="65E24CEC" w:rsidR="00A9138E" w:rsidRDefault="00A9138E" w:rsidP="00995747">
      <w:pPr>
        <w:pStyle w:val="NormalWeb"/>
        <w:rPr>
          <w:rFonts w:ascii="Arial" w:hAnsi="Arial" w:cs="Arial"/>
          <w:sz w:val="22"/>
          <w:szCs w:val="22"/>
        </w:rPr>
      </w:pPr>
      <w:r w:rsidRPr="00494E52">
        <w:rPr>
          <w:rFonts w:ascii="Arial" w:hAnsi="Arial" w:cs="Arial"/>
          <w:sz w:val="22"/>
          <w:szCs w:val="22"/>
        </w:rPr>
        <w:t>3.</w:t>
      </w:r>
      <w:r w:rsidR="00995747">
        <w:rPr>
          <w:rFonts w:ascii="Arial" w:hAnsi="Arial" w:cs="Arial"/>
          <w:sz w:val="22"/>
          <w:szCs w:val="22"/>
        </w:rPr>
        <w:t>9</w:t>
      </w:r>
      <w:r w:rsidRPr="00494E52">
        <w:rPr>
          <w:rFonts w:ascii="Arial" w:hAnsi="Arial" w:cs="Arial"/>
          <w:sz w:val="22"/>
          <w:szCs w:val="22"/>
        </w:rPr>
        <w:t xml:space="preserve"> </w:t>
      </w:r>
      <w:r>
        <w:rPr>
          <w:rFonts w:ascii="Arial" w:hAnsi="Arial" w:cs="Arial"/>
          <w:sz w:val="22"/>
          <w:szCs w:val="22"/>
        </w:rPr>
        <w:t>There are consistent gaps in ethnicity recording (as shown in Figure 7), with 21</w:t>
      </w:r>
      <w:r w:rsidRPr="00494E52">
        <w:rPr>
          <w:rFonts w:ascii="Arial" w:hAnsi="Arial" w:cs="Arial"/>
          <w:sz w:val="22"/>
          <w:szCs w:val="22"/>
        </w:rPr>
        <w:t>% (</w:t>
      </w:r>
      <w:r>
        <w:rPr>
          <w:rFonts w:ascii="Arial" w:hAnsi="Arial" w:cs="Arial"/>
          <w:sz w:val="22"/>
          <w:szCs w:val="22"/>
        </w:rPr>
        <w:t>88</w:t>
      </w:r>
      <w:r w:rsidRPr="00494E52">
        <w:rPr>
          <w:rFonts w:ascii="Arial" w:hAnsi="Arial" w:cs="Arial"/>
          <w:sz w:val="22"/>
          <w:szCs w:val="22"/>
        </w:rPr>
        <w:t xml:space="preserve">) </w:t>
      </w:r>
      <w:r>
        <w:rPr>
          <w:rFonts w:ascii="Arial" w:hAnsi="Arial" w:cs="Arial"/>
          <w:sz w:val="22"/>
          <w:szCs w:val="22"/>
        </w:rPr>
        <w:t>in Q1 where the ethnicity was recorded as</w:t>
      </w:r>
      <w:r w:rsidRPr="00494E52">
        <w:rPr>
          <w:rFonts w:ascii="Arial" w:hAnsi="Arial" w:cs="Arial"/>
          <w:sz w:val="22"/>
          <w:szCs w:val="22"/>
        </w:rPr>
        <w:t xml:space="preserve"> </w:t>
      </w:r>
      <w:r w:rsidRPr="00A3723C">
        <w:rPr>
          <w:rFonts w:ascii="Arial" w:hAnsi="Arial" w:cs="Arial"/>
          <w:i/>
          <w:sz w:val="22"/>
          <w:szCs w:val="22"/>
        </w:rPr>
        <w:t>ethnicity not known</w:t>
      </w:r>
      <w:r w:rsidRPr="00494E52">
        <w:rPr>
          <w:rFonts w:ascii="Arial" w:hAnsi="Arial" w:cs="Arial"/>
          <w:sz w:val="22"/>
          <w:szCs w:val="22"/>
        </w:rPr>
        <w:t xml:space="preserve"> or </w:t>
      </w:r>
      <w:r w:rsidRPr="00A3723C">
        <w:rPr>
          <w:rFonts w:ascii="Arial" w:hAnsi="Arial" w:cs="Arial"/>
          <w:i/>
          <w:sz w:val="22"/>
          <w:szCs w:val="22"/>
        </w:rPr>
        <w:t>not stated</w:t>
      </w:r>
      <w:r w:rsidRPr="00494E52">
        <w:rPr>
          <w:rFonts w:ascii="Arial" w:hAnsi="Arial" w:cs="Arial"/>
          <w:sz w:val="22"/>
          <w:szCs w:val="22"/>
        </w:rPr>
        <w:t xml:space="preserve"> according to the </w:t>
      </w:r>
      <w:proofErr w:type="spellStart"/>
      <w:r w:rsidRPr="00494E52">
        <w:rPr>
          <w:rFonts w:ascii="Arial" w:hAnsi="Arial" w:cs="Arial"/>
          <w:sz w:val="22"/>
          <w:szCs w:val="22"/>
        </w:rPr>
        <w:t>InPhase</w:t>
      </w:r>
      <w:proofErr w:type="spellEnd"/>
      <w:r w:rsidRPr="00494E52">
        <w:rPr>
          <w:rFonts w:ascii="Arial" w:hAnsi="Arial" w:cs="Arial"/>
          <w:sz w:val="22"/>
          <w:szCs w:val="22"/>
        </w:rPr>
        <w:t xml:space="preserve"> record.</w:t>
      </w:r>
      <w:r>
        <w:rPr>
          <w:rFonts w:ascii="Arial" w:hAnsi="Arial" w:cs="Arial"/>
          <w:sz w:val="22"/>
          <w:szCs w:val="22"/>
        </w:rPr>
        <w:t xml:space="preserve"> </w:t>
      </w:r>
    </w:p>
    <w:p w14:paraId="34CFAE83" w14:textId="77777777" w:rsidR="00995747" w:rsidRPr="00995747" w:rsidRDefault="00995747" w:rsidP="00995747">
      <w:pPr>
        <w:pStyle w:val="NormalWeb"/>
        <w:rPr>
          <w:rFonts w:ascii="Arial" w:hAnsi="Arial" w:cs="Arial"/>
          <w:color w:val="000000"/>
          <w:sz w:val="22"/>
          <w:szCs w:val="22"/>
        </w:rPr>
      </w:pPr>
    </w:p>
    <w:p w14:paraId="799978FA" w14:textId="36E7989E" w:rsidR="00A9138E" w:rsidRDefault="00A9138E" w:rsidP="00A9138E">
      <w:pPr>
        <w:rPr>
          <w:rFonts w:ascii="Arial" w:hAnsi="Arial" w:cs="Arial"/>
        </w:rPr>
      </w:pPr>
      <w:r>
        <w:rPr>
          <w:rFonts w:ascii="Arial" w:hAnsi="Arial" w:cs="Arial"/>
        </w:rPr>
        <w:t>3.</w:t>
      </w:r>
      <w:r w:rsidR="00995747">
        <w:rPr>
          <w:rFonts w:ascii="Arial" w:hAnsi="Arial" w:cs="Arial"/>
        </w:rPr>
        <w:t>10</w:t>
      </w:r>
      <w:r>
        <w:rPr>
          <w:rFonts w:ascii="Arial" w:hAnsi="Arial" w:cs="Arial"/>
        </w:rPr>
        <w:t xml:space="preserve"> Work is ongoing to link two digital systems (</w:t>
      </w:r>
      <w:proofErr w:type="spellStart"/>
      <w:r>
        <w:rPr>
          <w:rFonts w:ascii="Arial" w:hAnsi="Arial" w:cs="Arial"/>
        </w:rPr>
        <w:t>InPhase</w:t>
      </w:r>
      <w:proofErr w:type="spellEnd"/>
      <w:r>
        <w:rPr>
          <w:rFonts w:ascii="Arial" w:hAnsi="Arial" w:cs="Arial"/>
        </w:rPr>
        <w:t xml:space="preserve"> and </w:t>
      </w:r>
      <w:proofErr w:type="spellStart"/>
      <w:r>
        <w:rPr>
          <w:rFonts w:ascii="Arial" w:hAnsi="Arial" w:cs="Arial"/>
        </w:rPr>
        <w:t>RiO</w:t>
      </w:r>
      <w:proofErr w:type="spellEnd"/>
      <w:r>
        <w:rPr>
          <w:rFonts w:ascii="Arial" w:hAnsi="Arial" w:cs="Arial"/>
        </w:rPr>
        <w:t xml:space="preserve">), to improve demographic recording. There have been delays to this project and launch date is not yet known. As previously highlighted to the Board, linking the systems will help with </w:t>
      </w:r>
      <w:proofErr w:type="spellStart"/>
      <w:r>
        <w:rPr>
          <w:rFonts w:ascii="Arial" w:hAnsi="Arial" w:cs="Arial"/>
        </w:rPr>
        <w:t>InPhase</w:t>
      </w:r>
      <w:proofErr w:type="spellEnd"/>
      <w:r>
        <w:rPr>
          <w:rFonts w:ascii="Arial" w:hAnsi="Arial" w:cs="Arial"/>
        </w:rPr>
        <w:t xml:space="preserve"> data quality, however will not be the primary solution to improved demographic recording. This is because ethnicity data is not shared between </w:t>
      </w:r>
      <w:proofErr w:type="spellStart"/>
      <w:r>
        <w:rPr>
          <w:rFonts w:ascii="Arial" w:hAnsi="Arial" w:cs="Arial"/>
        </w:rPr>
        <w:t>RiO</w:t>
      </w:r>
      <w:proofErr w:type="spellEnd"/>
      <w:r>
        <w:rPr>
          <w:rFonts w:ascii="Arial" w:hAnsi="Arial" w:cs="Arial"/>
        </w:rPr>
        <w:t xml:space="preserve"> and the national Spine when a record is synchronised. The ethnicity field however is mandatory in </w:t>
      </w:r>
      <w:proofErr w:type="spellStart"/>
      <w:r>
        <w:rPr>
          <w:rFonts w:ascii="Arial" w:hAnsi="Arial" w:cs="Arial"/>
        </w:rPr>
        <w:t>RiO</w:t>
      </w:r>
      <w:proofErr w:type="spellEnd"/>
      <w:r>
        <w:rPr>
          <w:rFonts w:ascii="Arial" w:hAnsi="Arial" w:cs="Arial"/>
        </w:rPr>
        <w:t xml:space="preserve">, and therefore a selection must be picked before being able to progress with the patient record. There are options to </w:t>
      </w:r>
      <w:r>
        <w:rPr>
          <w:rFonts w:ascii="Arial" w:hAnsi="Arial" w:cs="Arial"/>
        </w:rPr>
        <w:lastRenderedPageBreak/>
        <w:t>state that ethnicity is not stated or known, and therefore 100% compliance may not always be achieved.</w:t>
      </w:r>
    </w:p>
    <w:p w14:paraId="1B984D2F" w14:textId="60C42C3B" w:rsidR="007C6FE1" w:rsidRPr="007C6FE1" w:rsidRDefault="00A9138E" w:rsidP="007C6FE1">
      <w:pPr>
        <w:pStyle w:val="ListNumber2"/>
        <w:numPr>
          <w:ilvl w:val="0"/>
          <w:numId w:val="0"/>
        </w:numPr>
        <w:rPr>
          <w:rFonts w:ascii="Arial" w:hAnsi="Arial" w:cs="Arial"/>
        </w:rPr>
      </w:pPr>
      <w:r>
        <w:rPr>
          <w:rFonts w:ascii="Arial" w:hAnsi="Arial" w:cs="Arial"/>
        </w:rPr>
        <w:t>3.1</w:t>
      </w:r>
      <w:r w:rsidR="00995747">
        <w:rPr>
          <w:rFonts w:ascii="Arial" w:hAnsi="Arial" w:cs="Arial"/>
        </w:rPr>
        <w:t>1</w:t>
      </w:r>
      <w:r>
        <w:rPr>
          <w:rFonts w:ascii="Arial" w:hAnsi="Arial" w:cs="Arial"/>
        </w:rPr>
        <w:t xml:space="preserve"> The </w:t>
      </w:r>
      <w:r w:rsidR="000828EE">
        <w:rPr>
          <w:rFonts w:ascii="Arial" w:hAnsi="Arial" w:cs="Arial"/>
        </w:rPr>
        <w:t>T</w:t>
      </w:r>
      <w:r>
        <w:rPr>
          <w:rFonts w:ascii="Arial" w:hAnsi="Arial" w:cs="Arial"/>
        </w:rPr>
        <w:t>rust will work to improve this area through the Equity For All working group and strategic objective to address heath inequalities.</w:t>
      </w:r>
    </w:p>
    <w:p w14:paraId="1EE39A4F" w14:textId="034340B0" w:rsidR="008324C6" w:rsidRPr="00ED3518" w:rsidRDefault="00A3723C" w:rsidP="00ED3518">
      <w:pPr>
        <w:pStyle w:val="NormalWeb"/>
        <w:tabs>
          <w:tab w:val="left" w:pos="426"/>
        </w:tabs>
        <w:rPr>
          <w:rFonts w:ascii="Arial" w:hAnsi="Arial" w:cs="Arial"/>
          <w:b/>
          <w:color w:val="000000"/>
          <w:sz w:val="22"/>
          <w:szCs w:val="22"/>
        </w:rPr>
      </w:pPr>
      <w:r>
        <w:rPr>
          <w:rFonts w:ascii="Arial" w:hAnsi="Arial" w:cs="Arial"/>
          <w:b/>
          <w:color w:val="000000"/>
          <w:sz w:val="22"/>
          <w:szCs w:val="22"/>
        </w:rPr>
        <w:t xml:space="preserve">4 </w:t>
      </w:r>
      <w:r w:rsidR="00A0048A">
        <w:rPr>
          <w:rFonts w:ascii="Arial" w:hAnsi="Arial" w:cs="Arial"/>
          <w:b/>
          <w:color w:val="000000"/>
          <w:sz w:val="22"/>
          <w:szCs w:val="22"/>
        </w:rPr>
        <w:t xml:space="preserve">KMPT </w:t>
      </w:r>
      <w:r w:rsidR="00A32242" w:rsidRPr="00A0048A">
        <w:rPr>
          <w:rFonts w:ascii="Arial" w:hAnsi="Arial" w:cs="Arial"/>
          <w:b/>
          <w:color w:val="000000"/>
          <w:sz w:val="22"/>
          <w:szCs w:val="22"/>
        </w:rPr>
        <w:t>SUSPECTED SUICIDES</w:t>
      </w:r>
    </w:p>
    <w:p w14:paraId="69923550" w14:textId="2AE29A25" w:rsidR="00721A54" w:rsidRPr="008324C6" w:rsidRDefault="008324C6" w:rsidP="00A0048A">
      <w:pPr>
        <w:pStyle w:val="NormalWeb"/>
        <w:rPr>
          <w:rFonts w:ascii="Arial" w:hAnsi="Arial" w:cs="Arial"/>
          <w:b/>
          <w:color w:val="000000"/>
          <w:sz w:val="22"/>
          <w:szCs w:val="22"/>
        </w:rPr>
      </w:pPr>
      <w:r w:rsidRPr="008324C6">
        <w:rPr>
          <w:rFonts w:ascii="Arial" w:hAnsi="Arial" w:cs="Arial"/>
          <w:b/>
          <w:color w:val="000000"/>
          <w:sz w:val="22"/>
          <w:szCs w:val="22"/>
        </w:rPr>
        <w:t xml:space="preserve">Figure </w:t>
      </w:r>
      <w:r w:rsidR="00AE57A9">
        <w:rPr>
          <w:rFonts w:ascii="Arial" w:hAnsi="Arial" w:cs="Arial"/>
          <w:b/>
          <w:color w:val="000000"/>
          <w:sz w:val="22"/>
          <w:szCs w:val="22"/>
        </w:rPr>
        <w:t>8:</w:t>
      </w:r>
      <w:r w:rsidRPr="008324C6">
        <w:rPr>
          <w:rFonts w:ascii="Arial" w:hAnsi="Arial" w:cs="Arial"/>
          <w:b/>
          <w:color w:val="000000"/>
          <w:sz w:val="22"/>
          <w:szCs w:val="22"/>
        </w:rPr>
        <w:t xml:space="preserve"> Suspected suicide by month</w:t>
      </w:r>
    </w:p>
    <w:p w14:paraId="0E6819C8" w14:textId="5D3064F3" w:rsidR="0051434E" w:rsidRDefault="00F12512" w:rsidP="00A0048A">
      <w:pPr>
        <w:pStyle w:val="NormalWeb"/>
        <w:rPr>
          <w:rFonts w:ascii="Arial" w:hAnsi="Arial" w:cs="Arial"/>
          <w:color w:val="000000"/>
          <w:sz w:val="22"/>
          <w:szCs w:val="22"/>
        </w:rPr>
      </w:pPr>
      <w:r w:rsidRPr="00F12512">
        <w:rPr>
          <w:rFonts w:ascii="Arial" w:hAnsi="Arial" w:cs="Arial"/>
          <w:noProof/>
          <w:color w:val="000000"/>
          <w:sz w:val="22"/>
          <w:szCs w:val="22"/>
        </w:rPr>
        <w:drawing>
          <wp:inline distT="0" distB="0" distL="0" distR="0" wp14:anchorId="249DA7EE" wp14:editId="3BCA6923">
            <wp:extent cx="6255385" cy="2817495"/>
            <wp:effectExtent l="0" t="0" r="0" b="1905"/>
            <wp:docPr id="9" name="Picture 1">
              <a:extLst xmlns:a="http://schemas.openxmlformats.org/drawingml/2006/main">
                <a:ext uri="{FF2B5EF4-FFF2-40B4-BE49-F238E27FC236}">
                  <a16:creationId xmlns:a16="http://schemas.microsoft.com/office/drawing/2014/main" id="{2A731736-CD62-4CAB-8FAA-773CFDFD14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A731736-CD62-4CAB-8FAA-773CFDFD14A7}"/>
                        </a:ext>
                      </a:extLst>
                    </pic:cNvPr>
                    <pic:cNvPicPr>
                      <a:picLocks noChangeAspect="1"/>
                    </pic:cNvPicPr>
                  </pic:nvPicPr>
                  <pic:blipFill>
                    <a:blip r:embed="rId13"/>
                    <a:stretch>
                      <a:fillRect/>
                    </a:stretch>
                  </pic:blipFill>
                  <pic:spPr>
                    <a:xfrm>
                      <a:off x="0" y="0"/>
                      <a:ext cx="6255385" cy="2817495"/>
                    </a:xfrm>
                    <a:prstGeom prst="rect">
                      <a:avLst/>
                    </a:prstGeom>
                  </pic:spPr>
                </pic:pic>
              </a:graphicData>
            </a:graphic>
          </wp:inline>
        </w:drawing>
      </w:r>
    </w:p>
    <w:p w14:paraId="759052E8" w14:textId="77777777" w:rsidR="00C9426C" w:rsidRDefault="00C9426C" w:rsidP="002A5807">
      <w:pPr>
        <w:pStyle w:val="NormalWeb"/>
        <w:rPr>
          <w:rFonts w:ascii="Arial" w:hAnsi="Arial" w:cs="Arial"/>
          <w:b/>
          <w:color w:val="000000"/>
          <w:sz w:val="22"/>
          <w:szCs w:val="22"/>
        </w:rPr>
      </w:pPr>
    </w:p>
    <w:p w14:paraId="506ADA9D" w14:textId="63E2BA14" w:rsidR="009D09D2" w:rsidRPr="00A0048A" w:rsidRDefault="00131B7F" w:rsidP="002A5807">
      <w:pPr>
        <w:pStyle w:val="NormalWeb"/>
        <w:rPr>
          <w:rFonts w:ascii="Arial" w:hAnsi="Arial" w:cs="Arial"/>
          <w:b/>
          <w:color w:val="000000"/>
          <w:sz w:val="22"/>
          <w:szCs w:val="22"/>
        </w:rPr>
      </w:pPr>
      <w:r>
        <w:rPr>
          <w:rFonts w:ascii="Arial" w:hAnsi="Arial" w:cs="Arial"/>
          <w:b/>
          <w:color w:val="000000"/>
          <w:sz w:val="22"/>
          <w:szCs w:val="22"/>
        </w:rPr>
        <w:t xml:space="preserve">Figure </w:t>
      </w:r>
      <w:r w:rsidR="00572568">
        <w:rPr>
          <w:rFonts w:ascii="Arial" w:hAnsi="Arial" w:cs="Arial"/>
          <w:b/>
          <w:color w:val="000000"/>
          <w:sz w:val="22"/>
          <w:szCs w:val="22"/>
        </w:rPr>
        <w:t>9</w:t>
      </w:r>
      <w:r>
        <w:rPr>
          <w:rFonts w:ascii="Arial" w:hAnsi="Arial" w:cs="Arial"/>
          <w:b/>
          <w:color w:val="000000"/>
          <w:sz w:val="22"/>
          <w:szCs w:val="22"/>
        </w:rPr>
        <w:t>:</w:t>
      </w:r>
      <w:r w:rsidR="00ED3518">
        <w:rPr>
          <w:rFonts w:ascii="Arial" w:hAnsi="Arial" w:cs="Arial"/>
          <w:b/>
          <w:color w:val="000000"/>
          <w:sz w:val="22"/>
          <w:szCs w:val="22"/>
        </w:rPr>
        <w:t xml:space="preserve"> </w:t>
      </w:r>
      <w:r w:rsidR="00A0048A">
        <w:rPr>
          <w:rFonts w:ascii="Arial" w:hAnsi="Arial" w:cs="Arial"/>
          <w:b/>
          <w:color w:val="000000"/>
          <w:sz w:val="22"/>
          <w:szCs w:val="22"/>
        </w:rPr>
        <w:t>Suspected s</w:t>
      </w:r>
      <w:r w:rsidR="00A0048A" w:rsidRPr="007E5C8E">
        <w:rPr>
          <w:rFonts w:ascii="Arial" w:hAnsi="Arial" w:cs="Arial"/>
          <w:b/>
          <w:color w:val="000000"/>
          <w:sz w:val="22"/>
          <w:szCs w:val="22"/>
        </w:rPr>
        <w:t>uicides by age</w:t>
      </w:r>
    </w:p>
    <w:tbl>
      <w:tblPr>
        <w:tblW w:w="5979" w:type="pct"/>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767"/>
        <w:gridCol w:w="707"/>
        <w:gridCol w:w="797"/>
        <w:gridCol w:w="597"/>
        <w:gridCol w:w="556"/>
        <w:gridCol w:w="597"/>
        <w:gridCol w:w="597"/>
        <w:gridCol w:w="567"/>
        <w:gridCol w:w="587"/>
        <w:gridCol w:w="586"/>
        <w:gridCol w:w="557"/>
        <w:gridCol w:w="616"/>
        <w:gridCol w:w="567"/>
        <w:gridCol w:w="667"/>
      </w:tblGrid>
      <w:tr w:rsidR="006E5064" w:rsidRPr="006E5064" w14:paraId="57AA5823" w14:textId="77777777" w:rsidTr="006E5064">
        <w:trPr>
          <w:trHeight w:val="290"/>
        </w:trPr>
        <w:tc>
          <w:tcPr>
            <w:tcW w:w="935" w:type="pct"/>
            <w:shd w:val="clear" w:color="000000" w:fill="AFC6DB"/>
            <w:noWrap/>
            <w:vAlign w:val="bottom"/>
            <w:hideMark/>
          </w:tcPr>
          <w:p w14:paraId="4D7E97CD"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SUICIDES - Age Band</w:t>
            </w:r>
          </w:p>
        </w:tc>
        <w:tc>
          <w:tcPr>
            <w:tcW w:w="356" w:type="pct"/>
            <w:shd w:val="clear" w:color="000000" w:fill="162D54"/>
            <w:noWrap/>
            <w:vAlign w:val="bottom"/>
            <w:hideMark/>
          </w:tcPr>
          <w:p w14:paraId="0C928285"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Jun-24</w:t>
            </w:r>
          </w:p>
        </w:tc>
        <w:tc>
          <w:tcPr>
            <w:tcW w:w="328" w:type="pct"/>
            <w:shd w:val="clear" w:color="000000" w:fill="162D54"/>
            <w:noWrap/>
            <w:vAlign w:val="bottom"/>
            <w:hideMark/>
          </w:tcPr>
          <w:p w14:paraId="6BA5E322"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Jul-24</w:t>
            </w:r>
          </w:p>
        </w:tc>
        <w:tc>
          <w:tcPr>
            <w:tcW w:w="370" w:type="pct"/>
            <w:shd w:val="clear" w:color="000000" w:fill="162D54"/>
            <w:noWrap/>
            <w:vAlign w:val="bottom"/>
            <w:hideMark/>
          </w:tcPr>
          <w:p w14:paraId="56077FBE"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Aug-24</w:t>
            </w:r>
          </w:p>
        </w:tc>
        <w:tc>
          <w:tcPr>
            <w:tcW w:w="277" w:type="pct"/>
            <w:shd w:val="clear" w:color="000000" w:fill="162D54"/>
          </w:tcPr>
          <w:p w14:paraId="78BC878B"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Sep-24</w:t>
            </w:r>
          </w:p>
        </w:tc>
        <w:tc>
          <w:tcPr>
            <w:tcW w:w="258" w:type="pct"/>
            <w:shd w:val="clear" w:color="000000" w:fill="162D54"/>
          </w:tcPr>
          <w:p w14:paraId="73A8D26F"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Oct-24</w:t>
            </w:r>
          </w:p>
        </w:tc>
        <w:tc>
          <w:tcPr>
            <w:tcW w:w="277" w:type="pct"/>
            <w:shd w:val="clear" w:color="000000" w:fill="162D54"/>
          </w:tcPr>
          <w:p w14:paraId="2E9DDEBE"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Nov-24</w:t>
            </w:r>
          </w:p>
        </w:tc>
        <w:tc>
          <w:tcPr>
            <w:tcW w:w="277" w:type="pct"/>
            <w:shd w:val="clear" w:color="000000" w:fill="162D54"/>
          </w:tcPr>
          <w:p w14:paraId="7976E095"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Dec-24</w:t>
            </w:r>
          </w:p>
        </w:tc>
        <w:tc>
          <w:tcPr>
            <w:tcW w:w="263" w:type="pct"/>
            <w:shd w:val="clear" w:color="000000" w:fill="162D54"/>
          </w:tcPr>
          <w:p w14:paraId="6092B1DB"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Jan-25</w:t>
            </w:r>
          </w:p>
        </w:tc>
        <w:tc>
          <w:tcPr>
            <w:tcW w:w="272" w:type="pct"/>
            <w:shd w:val="clear" w:color="000000" w:fill="162D54"/>
          </w:tcPr>
          <w:p w14:paraId="76BE16F7"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Feb-25</w:t>
            </w:r>
          </w:p>
        </w:tc>
        <w:tc>
          <w:tcPr>
            <w:tcW w:w="272" w:type="pct"/>
            <w:shd w:val="clear" w:color="000000" w:fill="162D54"/>
          </w:tcPr>
          <w:p w14:paraId="7583FDF5"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Mar-25</w:t>
            </w:r>
          </w:p>
        </w:tc>
        <w:tc>
          <w:tcPr>
            <w:tcW w:w="258" w:type="pct"/>
            <w:shd w:val="clear" w:color="000000" w:fill="162D54"/>
          </w:tcPr>
          <w:p w14:paraId="7B79D72D" w14:textId="13A3DD66"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Apr-25</w:t>
            </w:r>
          </w:p>
        </w:tc>
        <w:tc>
          <w:tcPr>
            <w:tcW w:w="286" w:type="pct"/>
            <w:shd w:val="clear" w:color="000000" w:fill="162D54"/>
          </w:tcPr>
          <w:p w14:paraId="0F04CE2C" w14:textId="6B1FA463"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May-25</w:t>
            </w:r>
          </w:p>
        </w:tc>
        <w:tc>
          <w:tcPr>
            <w:tcW w:w="263" w:type="pct"/>
            <w:shd w:val="clear" w:color="000000" w:fill="162D54"/>
          </w:tcPr>
          <w:p w14:paraId="1C7CE339" w14:textId="24DA9CD2"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Jun-25</w:t>
            </w:r>
          </w:p>
        </w:tc>
        <w:tc>
          <w:tcPr>
            <w:tcW w:w="309" w:type="pct"/>
            <w:shd w:val="clear" w:color="000000" w:fill="162D54"/>
            <w:noWrap/>
            <w:vAlign w:val="bottom"/>
            <w:hideMark/>
          </w:tcPr>
          <w:p w14:paraId="63B2A680" w14:textId="236CB588"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Total</w:t>
            </w:r>
          </w:p>
        </w:tc>
      </w:tr>
      <w:tr w:rsidR="006E5064" w:rsidRPr="006E5064" w14:paraId="0EF00453" w14:textId="77777777" w:rsidTr="006E5064">
        <w:trPr>
          <w:trHeight w:val="290"/>
        </w:trPr>
        <w:tc>
          <w:tcPr>
            <w:tcW w:w="935" w:type="pct"/>
            <w:shd w:val="clear" w:color="000000" w:fill="162D54"/>
            <w:noWrap/>
            <w:vAlign w:val="bottom"/>
            <w:hideMark/>
          </w:tcPr>
          <w:p w14:paraId="3D04162D"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100+</w:t>
            </w:r>
          </w:p>
        </w:tc>
        <w:tc>
          <w:tcPr>
            <w:tcW w:w="356" w:type="pct"/>
            <w:shd w:val="clear" w:color="auto" w:fill="auto"/>
            <w:noWrap/>
            <w:vAlign w:val="bottom"/>
            <w:hideMark/>
          </w:tcPr>
          <w:p w14:paraId="60D37F8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28" w:type="pct"/>
            <w:shd w:val="clear" w:color="auto" w:fill="auto"/>
            <w:noWrap/>
            <w:vAlign w:val="bottom"/>
            <w:hideMark/>
          </w:tcPr>
          <w:p w14:paraId="2CD1682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7895FD94"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tcPr>
          <w:p w14:paraId="2D2E0D4E"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shd w:val="clear" w:color="auto" w:fill="FFFFFF" w:themeFill="background1"/>
          </w:tcPr>
          <w:p w14:paraId="5AC12A9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FFFF" w:themeFill="background1"/>
          </w:tcPr>
          <w:p w14:paraId="3F8C117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7B85D81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58BEF0F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tcPr>
          <w:p w14:paraId="302F506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222C785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tcPr>
          <w:p w14:paraId="2D8AF7B2" w14:textId="78A27B30"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593AE539" w14:textId="128DD77B"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0853F5DC" w14:textId="3092791E"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1F11F4FB" w14:textId="7E25B9C0"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r>
      <w:tr w:rsidR="006E5064" w:rsidRPr="006E5064" w14:paraId="4C7952A5" w14:textId="77777777" w:rsidTr="006E5064">
        <w:trPr>
          <w:trHeight w:val="290"/>
        </w:trPr>
        <w:tc>
          <w:tcPr>
            <w:tcW w:w="935" w:type="pct"/>
            <w:shd w:val="clear" w:color="000000" w:fill="162D54"/>
            <w:noWrap/>
            <w:vAlign w:val="bottom"/>
            <w:hideMark/>
          </w:tcPr>
          <w:p w14:paraId="28E28E0A"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 xml:space="preserve">90 - 99 </w:t>
            </w:r>
          </w:p>
        </w:tc>
        <w:tc>
          <w:tcPr>
            <w:tcW w:w="356" w:type="pct"/>
            <w:shd w:val="clear" w:color="auto" w:fill="auto"/>
            <w:noWrap/>
            <w:vAlign w:val="bottom"/>
            <w:hideMark/>
          </w:tcPr>
          <w:p w14:paraId="166FDDB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28" w:type="pct"/>
            <w:shd w:val="clear" w:color="auto" w:fill="auto"/>
            <w:noWrap/>
            <w:vAlign w:val="bottom"/>
            <w:hideMark/>
          </w:tcPr>
          <w:p w14:paraId="5C99854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089ADFC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tcPr>
          <w:p w14:paraId="388830E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shd w:val="clear" w:color="auto" w:fill="FFFFFF" w:themeFill="background1"/>
          </w:tcPr>
          <w:p w14:paraId="5BC91D0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FFFF" w:themeFill="background1"/>
          </w:tcPr>
          <w:p w14:paraId="4D6B9332"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32FAD675"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5C02128E"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tcPr>
          <w:p w14:paraId="568EB96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3C6CCE16"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tcPr>
          <w:p w14:paraId="76198E99" w14:textId="2C4F48A4"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089CF907" w14:textId="66904387"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156579C3" w14:textId="35214531"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352AF803" w14:textId="180BBD2F"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r>
      <w:tr w:rsidR="006E5064" w:rsidRPr="006E5064" w14:paraId="1F419638" w14:textId="77777777" w:rsidTr="006E5064">
        <w:trPr>
          <w:trHeight w:val="290"/>
        </w:trPr>
        <w:tc>
          <w:tcPr>
            <w:tcW w:w="935" w:type="pct"/>
            <w:shd w:val="clear" w:color="000000" w:fill="162D54"/>
            <w:noWrap/>
            <w:vAlign w:val="bottom"/>
            <w:hideMark/>
          </w:tcPr>
          <w:p w14:paraId="65646FB0"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80 - 89</w:t>
            </w:r>
          </w:p>
        </w:tc>
        <w:tc>
          <w:tcPr>
            <w:tcW w:w="356" w:type="pct"/>
            <w:shd w:val="clear" w:color="auto" w:fill="auto"/>
            <w:noWrap/>
            <w:vAlign w:val="bottom"/>
            <w:hideMark/>
          </w:tcPr>
          <w:p w14:paraId="591D946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28" w:type="pct"/>
            <w:shd w:val="clear" w:color="auto" w:fill="auto"/>
            <w:noWrap/>
            <w:vAlign w:val="bottom"/>
            <w:hideMark/>
          </w:tcPr>
          <w:p w14:paraId="5ED3B2C6"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7A7E30F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tcPr>
          <w:p w14:paraId="5629682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shd w:val="clear" w:color="auto" w:fill="FFFFFF" w:themeFill="background1"/>
          </w:tcPr>
          <w:p w14:paraId="0D8E1DF4"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FFFF" w:themeFill="background1"/>
          </w:tcPr>
          <w:p w14:paraId="201FD57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004BDB3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7925A94A"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tcPr>
          <w:p w14:paraId="34DC73B2"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084F469D"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tcPr>
          <w:p w14:paraId="54EAF799" w14:textId="79C24147"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69C8B9A8" w14:textId="477B7493"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2FEF7703" w14:textId="586833A7"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6454AB6E" w14:textId="70FCDE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r>
      <w:tr w:rsidR="006E5064" w:rsidRPr="006E5064" w14:paraId="4A8CB89E" w14:textId="77777777" w:rsidTr="006E5064">
        <w:trPr>
          <w:trHeight w:val="290"/>
        </w:trPr>
        <w:tc>
          <w:tcPr>
            <w:tcW w:w="935" w:type="pct"/>
            <w:shd w:val="clear" w:color="000000" w:fill="162D54"/>
            <w:noWrap/>
            <w:vAlign w:val="bottom"/>
            <w:hideMark/>
          </w:tcPr>
          <w:p w14:paraId="322CB477"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70 - 79</w:t>
            </w:r>
          </w:p>
        </w:tc>
        <w:tc>
          <w:tcPr>
            <w:tcW w:w="356" w:type="pct"/>
            <w:shd w:val="clear" w:color="auto" w:fill="auto"/>
            <w:noWrap/>
            <w:vAlign w:val="bottom"/>
            <w:hideMark/>
          </w:tcPr>
          <w:p w14:paraId="7814161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28" w:type="pct"/>
            <w:shd w:val="clear" w:color="auto" w:fill="auto"/>
            <w:noWrap/>
            <w:vAlign w:val="bottom"/>
            <w:hideMark/>
          </w:tcPr>
          <w:p w14:paraId="359F660A"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3F1A5BC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tcPr>
          <w:p w14:paraId="713FF2CD"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shd w:val="clear" w:color="auto" w:fill="FFFFFF" w:themeFill="background1"/>
          </w:tcPr>
          <w:p w14:paraId="3D5298E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FFFFFF" w:themeFill="background1"/>
          </w:tcPr>
          <w:p w14:paraId="24C1E96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3E2419CA"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09FE4084"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tcPr>
          <w:p w14:paraId="79FDAB2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FFC000"/>
          </w:tcPr>
          <w:p w14:paraId="139C78B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58" w:type="pct"/>
            <w:shd w:val="clear" w:color="auto" w:fill="auto"/>
          </w:tcPr>
          <w:p w14:paraId="35A54D96" w14:textId="46CB211D"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652753A1" w14:textId="6633FFC5"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1F94027B" w14:textId="7E3D3981"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74CF2A0A" w14:textId="10B58AA1"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3</w:t>
            </w:r>
          </w:p>
        </w:tc>
      </w:tr>
      <w:tr w:rsidR="006E5064" w:rsidRPr="006E5064" w14:paraId="4F93C44C" w14:textId="77777777" w:rsidTr="00572568">
        <w:trPr>
          <w:trHeight w:val="290"/>
        </w:trPr>
        <w:tc>
          <w:tcPr>
            <w:tcW w:w="935" w:type="pct"/>
            <w:shd w:val="clear" w:color="000000" w:fill="162D54"/>
            <w:noWrap/>
            <w:vAlign w:val="bottom"/>
            <w:hideMark/>
          </w:tcPr>
          <w:p w14:paraId="13937053"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60 - 69</w:t>
            </w:r>
          </w:p>
        </w:tc>
        <w:tc>
          <w:tcPr>
            <w:tcW w:w="356" w:type="pct"/>
            <w:shd w:val="clear" w:color="auto" w:fill="FFC000"/>
            <w:noWrap/>
            <w:vAlign w:val="bottom"/>
            <w:hideMark/>
          </w:tcPr>
          <w:p w14:paraId="1A48DB5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328" w:type="pct"/>
            <w:shd w:val="clear" w:color="auto" w:fill="auto"/>
            <w:noWrap/>
            <w:vAlign w:val="bottom"/>
            <w:hideMark/>
          </w:tcPr>
          <w:p w14:paraId="7813ABD6"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370" w:type="pct"/>
            <w:shd w:val="clear" w:color="auto" w:fill="auto"/>
            <w:noWrap/>
            <w:vAlign w:val="bottom"/>
            <w:hideMark/>
          </w:tcPr>
          <w:p w14:paraId="25B42E06"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auto"/>
          </w:tcPr>
          <w:p w14:paraId="0C566AA2"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shd w:val="clear" w:color="auto" w:fill="FFFFFF" w:themeFill="background1"/>
          </w:tcPr>
          <w:p w14:paraId="6A458325"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FFFF" w:themeFill="background1"/>
          </w:tcPr>
          <w:p w14:paraId="07C5086C"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C000"/>
          </w:tcPr>
          <w:p w14:paraId="2CE0D2E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63" w:type="pct"/>
            <w:shd w:val="clear" w:color="auto" w:fill="auto"/>
          </w:tcPr>
          <w:p w14:paraId="4806CBB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tcPr>
          <w:p w14:paraId="47C129D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586F874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58" w:type="pct"/>
          </w:tcPr>
          <w:p w14:paraId="50996C98" w14:textId="2F8563CF"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w:t>
            </w:r>
          </w:p>
        </w:tc>
        <w:tc>
          <w:tcPr>
            <w:tcW w:w="286" w:type="pct"/>
            <w:shd w:val="clear" w:color="auto" w:fill="FFC000"/>
          </w:tcPr>
          <w:p w14:paraId="55D6E4AB" w14:textId="73E816A2"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2</w:t>
            </w:r>
          </w:p>
        </w:tc>
        <w:tc>
          <w:tcPr>
            <w:tcW w:w="263" w:type="pct"/>
            <w:shd w:val="clear" w:color="auto" w:fill="auto"/>
          </w:tcPr>
          <w:p w14:paraId="23D01A8D" w14:textId="2665D18C"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w:t>
            </w:r>
          </w:p>
        </w:tc>
        <w:tc>
          <w:tcPr>
            <w:tcW w:w="309" w:type="pct"/>
            <w:shd w:val="clear" w:color="auto" w:fill="C6D9F1" w:themeFill="text2" w:themeFillTint="33"/>
            <w:noWrap/>
            <w:vAlign w:val="bottom"/>
            <w:hideMark/>
          </w:tcPr>
          <w:p w14:paraId="49A4BA81" w14:textId="3A2DD1D0"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10</w:t>
            </w:r>
          </w:p>
        </w:tc>
      </w:tr>
      <w:tr w:rsidR="006E5064" w:rsidRPr="006E5064" w14:paraId="33A32493" w14:textId="77777777" w:rsidTr="000470AB">
        <w:trPr>
          <w:trHeight w:val="528"/>
        </w:trPr>
        <w:tc>
          <w:tcPr>
            <w:tcW w:w="935" w:type="pct"/>
            <w:shd w:val="clear" w:color="000000" w:fill="162D54"/>
            <w:noWrap/>
            <w:vAlign w:val="bottom"/>
            <w:hideMark/>
          </w:tcPr>
          <w:p w14:paraId="72DE84DA"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50 - 59</w:t>
            </w:r>
          </w:p>
        </w:tc>
        <w:tc>
          <w:tcPr>
            <w:tcW w:w="356" w:type="pct"/>
            <w:shd w:val="clear" w:color="auto" w:fill="FFC000"/>
            <w:noWrap/>
            <w:vAlign w:val="bottom"/>
            <w:hideMark/>
          </w:tcPr>
          <w:p w14:paraId="5D9B98F4"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328" w:type="pct"/>
            <w:shd w:val="clear" w:color="auto" w:fill="FFC000"/>
            <w:noWrap/>
            <w:vAlign w:val="bottom"/>
            <w:hideMark/>
          </w:tcPr>
          <w:p w14:paraId="3547A8ED"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370" w:type="pct"/>
            <w:shd w:val="clear" w:color="auto" w:fill="FFC000"/>
            <w:noWrap/>
            <w:vAlign w:val="bottom"/>
            <w:hideMark/>
          </w:tcPr>
          <w:p w14:paraId="19284F3C"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3</w:t>
            </w:r>
          </w:p>
        </w:tc>
        <w:tc>
          <w:tcPr>
            <w:tcW w:w="277" w:type="pct"/>
            <w:shd w:val="clear" w:color="auto" w:fill="auto"/>
          </w:tcPr>
          <w:p w14:paraId="3A74810C" w14:textId="77777777" w:rsidR="006E5064" w:rsidRPr="006E5064" w:rsidRDefault="006E5064" w:rsidP="006E5064">
            <w:pPr>
              <w:pStyle w:val="NoSpacing"/>
              <w:rPr>
                <w:rFonts w:ascii="Arial" w:hAnsi="Arial" w:cs="Arial"/>
                <w:sz w:val="18"/>
                <w:szCs w:val="18"/>
                <w:lang w:eastAsia="en-GB"/>
              </w:rPr>
            </w:pPr>
          </w:p>
          <w:p w14:paraId="22877171" w14:textId="77777777" w:rsidR="006E5064" w:rsidRPr="006E5064" w:rsidRDefault="006E5064" w:rsidP="006E5064">
            <w:pPr>
              <w:pStyle w:val="NoSpacing"/>
              <w:rPr>
                <w:rFonts w:ascii="Arial" w:hAnsi="Arial" w:cs="Arial"/>
                <w:sz w:val="18"/>
                <w:szCs w:val="18"/>
                <w:lang w:eastAsia="en-GB"/>
              </w:rPr>
            </w:pPr>
          </w:p>
          <w:p w14:paraId="4117CBDA"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58" w:type="pct"/>
            <w:shd w:val="clear" w:color="auto" w:fill="auto"/>
          </w:tcPr>
          <w:p w14:paraId="48F42ED4" w14:textId="77777777" w:rsidR="006E5064" w:rsidRPr="006E5064" w:rsidRDefault="006E5064" w:rsidP="006E5064">
            <w:pPr>
              <w:pStyle w:val="NoSpacing"/>
              <w:rPr>
                <w:rFonts w:ascii="Arial" w:hAnsi="Arial" w:cs="Arial"/>
                <w:sz w:val="18"/>
                <w:szCs w:val="18"/>
                <w:lang w:eastAsia="en-GB"/>
              </w:rPr>
            </w:pPr>
          </w:p>
          <w:p w14:paraId="5AB5638A" w14:textId="77777777" w:rsidR="006E5064" w:rsidRPr="006E5064" w:rsidRDefault="006E5064" w:rsidP="006E5064">
            <w:pPr>
              <w:pStyle w:val="NoSpacing"/>
              <w:rPr>
                <w:rFonts w:ascii="Arial" w:hAnsi="Arial" w:cs="Arial"/>
                <w:sz w:val="18"/>
                <w:szCs w:val="18"/>
                <w:lang w:eastAsia="en-GB"/>
              </w:rPr>
            </w:pPr>
          </w:p>
          <w:p w14:paraId="7BB88DE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auto"/>
          </w:tcPr>
          <w:p w14:paraId="7227EE64" w14:textId="77777777" w:rsidR="006E5064" w:rsidRPr="006E5064" w:rsidRDefault="006E5064" w:rsidP="006E5064">
            <w:pPr>
              <w:pStyle w:val="NoSpacing"/>
              <w:rPr>
                <w:rFonts w:ascii="Arial" w:hAnsi="Arial" w:cs="Arial"/>
                <w:sz w:val="18"/>
                <w:szCs w:val="18"/>
                <w:lang w:eastAsia="en-GB"/>
              </w:rPr>
            </w:pPr>
          </w:p>
          <w:p w14:paraId="00F163B3" w14:textId="77777777" w:rsidR="006E5064" w:rsidRPr="006E5064" w:rsidRDefault="006E5064" w:rsidP="006E5064">
            <w:pPr>
              <w:pStyle w:val="NoSpacing"/>
              <w:rPr>
                <w:rFonts w:ascii="Arial" w:hAnsi="Arial" w:cs="Arial"/>
                <w:sz w:val="18"/>
                <w:szCs w:val="18"/>
                <w:lang w:eastAsia="en-GB"/>
              </w:rPr>
            </w:pPr>
          </w:p>
          <w:p w14:paraId="478A76C2"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25FADB2D" w14:textId="77777777" w:rsidR="006E5064" w:rsidRPr="006E5064" w:rsidRDefault="006E5064" w:rsidP="006E5064">
            <w:pPr>
              <w:pStyle w:val="NoSpacing"/>
              <w:rPr>
                <w:rFonts w:ascii="Arial" w:hAnsi="Arial" w:cs="Arial"/>
                <w:sz w:val="18"/>
                <w:szCs w:val="18"/>
                <w:lang w:eastAsia="en-GB"/>
              </w:rPr>
            </w:pPr>
          </w:p>
          <w:p w14:paraId="23B72577" w14:textId="77777777" w:rsidR="006E5064" w:rsidRPr="006E5064" w:rsidRDefault="006E5064" w:rsidP="006E5064">
            <w:pPr>
              <w:pStyle w:val="NoSpacing"/>
              <w:rPr>
                <w:rFonts w:ascii="Arial" w:hAnsi="Arial" w:cs="Arial"/>
                <w:sz w:val="18"/>
                <w:szCs w:val="18"/>
                <w:lang w:eastAsia="en-GB"/>
              </w:rPr>
            </w:pPr>
          </w:p>
          <w:p w14:paraId="44251115"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FFC000"/>
          </w:tcPr>
          <w:p w14:paraId="5D0D3E13" w14:textId="77777777" w:rsidR="006E5064" w:rsidRPr="006E5064" w:rsidRDefault="006E5064" w:rsidP="006E5064">
            <w:pPr>
              <w:pStyle w:val="NoSpacing"/>
              <w:rPr>
                <w:rFonts w:ascii="Arial" w:hAnsi="Arial" w:cs="Arial"/>
                <w:sz w:val="18"/>
                <w:szCs w:val="18"/>
                <w:lang w:eastAsia="en-GB"/>
              </w:rPr>
            </w:pPr>
          </w:p>
          <w:p w14:paraId="60134ADF" w14:textId="77777777" w:rsidR="006E5064" w:rsidRPr="006E5064" w:rsidRDefault="006E5064" w:rsidP="006E5064">
            <w:pPr>
              <w:pStyle w:val="NoSpacing"/>
              <w:rPr>
                <w:rFonts w:ascii="Arial" w:hAnsi="Arial" w:cs="Arial"/>
                <w:sz w:val="18"/>
                <w:szCs w:val="18"/>
                <w:lang w:eastAsia="en-GB"/>
              </w:rPr>
            </w:pPr>
          </w:p>
          <w:p w14:paraId="5F2C4366"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72" w:type="pct"/>
            <w:shd w:val="clear" w:color="auto" w:fill="FFC000"/>
          </w:tcPr>
          <w:p w14:paraId="4022799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 xml:space="preserve">       </w:t>
            </w:r>
          </w:p>
          <w:p w14:paraId="059F9862" w14:textId="77777777" w:rsidR="006E5064" w:rsidRPr="006E5064" w:rsidRDefault="006E5064" w:rsidP="006E5064">
            <w:pPr>
              <w:pStyle w:val="NoSpacing"/>
              <w:rPr>
                <w:rFonts w:ascii="Arial" w:hAnsi="Arial" w:cs="Arial"/>
                <w:sz w:val="18"/>
                <w:szCs w:val="18"/>
                <w:lang w:eastAsia="en-GB"/>
              </w:rPr>
            </w:pPr>
          </w:p>
          <w:p w14:paraId="56A5AB1C"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72" w:type="pct"/>
            <w:shd w:val="clear" w:color="auto" w:fill="FFC000"/>
          </w:tcPr>
          <w:p w14:paraId="2CA24443" w14:textId="77777777" w:rsidR="006E5064" w:rsidRPr="006E5064" w:rsidRDefault="006E5064" w:rsidP="006E5064">
            <w:pPr>
              <w:pStyle w:val="NoSpacing"/>
              <w:rPr>
                <w:rFonts w:ascii="Arial" w:hAnsi="Arial" w:cs="Arial"/>
                <w:sz w:val="18"/>
                <w:szCs w:val="18"/>
                <w:lang w:eastAsia="en-GB"/>
              </w:rPr>
            </w:pPr>
          </w:p>
          <w:p w14:paraId="6821982D" w14:textId="77777777" w:rsidR="006E5064" w:rsidRPr="006E5064" w:rsidRDefault="006E5064" w:rsidP="006E5064">
            <w:pPr>
              <w:pStyle w:val="NoSpacing"/>
              <w:rPr>
                <w:rFonts w:ascii="Arial" w:hAnsi="Arial" w:cs="Arial"/>
                <w:sz w:val="18"/>
                <w:szCs w:val="18"/>
                <w:lang w:eastAsia="en-GB"/>
              </w:rPr>
            </w:pPr>
          </w:p>
          <w:p w14:paraId="6BD7EE6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58" w:type="pct"/>
            <w:shd w:val="clear" w:color="auto" w:fill="auto"/>
          </w:tcPr>
          <w:p w14:paraId="6522C479" w14:textId="714A22EF" w:rsidR="006E5064" w:rsidRDefault="006E5064" w:rsidP="006E5064">
            <w:pPr>
              <w:pStyle w:val="NoSpacing"/>
              <w:rPr>
                <w:rFonts w:ascii="Arial" w:hAnsi="Arial" w:cs="Arial"/>
                <w:sz w:val="18"/>
                <w:szCs w:val="18"/>
                <w:lang w:eastAsia="en-GB"/>
              </w:rPr>
            </w:pPr>
          </w:p>
          <w:p w14:paraId="5DFC134A" w14:textId="77777777" w:rsidR="006E5064" w:rsidRDefault="006E5064" w:rsidP="006E5064">
            <w:pPr>
              <w:pStyle w:val="NoSpacing"/>
              <w:rPr>
                <w:rFonts w:ascii="Arial" w:hAnsi="Arial" w:cs="Arial"/>
                <w:sz w:val="18"/>
                <w:szCs w:val="18"/>
                <w:lang w:eastAsia="en-GB"/>
              </w:rPr>
            </w:pPr>
          </w:p>
          <w:p w14:paraId="631DEE5A" w14:textId="0F8A4DC2"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1C2F887B" w14:textId="77777777" w:rsidR="006E5064" w:rsidRDefault="006E5064" w:rsidP="006E5064">
            <w:pPr>
              <w:pStyle w:val="NoSpacing"/>
              <w:rPr>
                <w:rFonts w:ascii="Arial" w:hAnsi="Arial" w:cs="Arial"/>
                <w:sz w:val="18"/>
                <w:szCs w:val="18"/>
                <w:lang w:eastAsia="en-GB"/>
              </w:rPr>
            </w:pPr>
          </w:p>
          <w:p w14:paraId="48F0CCFC" w14:textId="77777777" w:rsidR="006E5064" w:rsidRDefault="006E5064" w:rsidP="006E5064">
            <w:pPr>
              <w:pStyle w:val="NoSpacing"/>
              <w:rPr>
                <w:rFonts w:ascii="Arial" w:hAnsi="Arial" w:cs="Arial"/>
                <w:sz w:val="18"/>
                <w:szCs w:val="18"/>
                <w:lang w:eastAsia="en-GB"/>
              </w:rPr>
            </w:pPr>
          </w:p>
          <w:p w14:paraId="5964C30D" w14:textId="6693A368"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FFC000"/>
          </w:tcPr>
          <w:p w14:paraId="38CF283D" w14:textId="77777777" w:rsidR="006E5064" w:rsidRDefault="006E5064" w:rsidP="006E5064">
            <w:pPr>
              <w:pStyle w:val="NoSpacing"/>
              <w:rPr>
                <w:rFonts w:ascii="Arial" w:hAnsi="Arial" w:cs="Arial"/>
                <w:sz w:val="18"/>
                <w:szCs w:val="18"/>
                <w:lang w:eastAsia="en-GB"/>
              </w:rPr>
            </w:pPr>
          </w:p>
          <w:p w14:paraId="18EC7FAD" w14:textId="77777777" w:rsidR="006E5064" w:rsidRDefault="006E5064" w:rsidP="006E5064">
            <w:pPr>
              <w:pStyle w:val="NoSpacing"/>
              <w:rPr>
                <w:rFonts w:ascii="Arial" w:hAnsi="Arial" w:cs="Arial"/>
                <w:sz w:val="18"/>
                <w:szCs w:val="18"/>
                <w:lang w:eastAsia="en-GB"/>
              </w:rPr>
            </w:pPr>
          </w:p>
          <w:p w14:paraId="2562FCF9" w14:textId="43EAC306"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3</w:t>
            </w:r>
          </w:p>
        </w:tc>
        <w:tc>
          <w:tcPr>
            <w:tcW w:w="309" w:type="pct"/>
            <w:shd w:val="clear" w:color="auto" w:fill="FFC000"/>
            <w:noWrap/>
            <w:vAlign w:val="bottom"/>
            <w:hideMark/>
          </w:tcPr>
          <w:p w14:paraId="55E0FEFD" w14:textId="1000EED3"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 xml:space="preserve">     </w:t>
            </w:r>
            <w:r>
              <w:rPr>
                <w:rFonts w:ascii="Arial" w:hAnsi="Arial" w:cs="Arial"/>
                <w:sz w:val="18"/>
                <w:szCs w:val="18"/>
                <w:lang w:eastAsia="en-GB"/>
              </w:rPr>
              <w:t>18</w:t>
            </w:r>
          </w:p>
        </w:tc>
      </w:tr>
      <w:tr w:rsidR="006E5064" w:rsidRPr="006E5064" w14:paraId="63988D5B" w14:textId="77777777" w:rsidTr="006E5064">
        <w:trPr>
          <w:trHeight w:val="290"/>
        </w:trPr>
        <w:tc>
          <w:tcPr>
            <w:tcW w:w="935" w:type="pct"/>
            <w:shd w:val="clear" w:color="000000" w:fill="162D54"/>
            <w:noWrap/>
            <w:vAlign w:val="bottom"/>
            <w:hideMark/>
          </w:tcPr>
          <w:p w14:paraId="14BEEE20"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40 - 49</w:t>
            </w:r>
          </w:p>
        </w:tc>
        <w:tc>
          <w:tcPr>
            <w:tcW w:w="356" w:type="pct"/>
            <w:shd w:val="clear" w:color="auto" w:fill="auto"/>
            <w:noWrap/>
            <w:vAlign w:val="bottom"/>
            <w:hideMark/>
          </w:tcPr>
          <w:p w14:paraId="7BC2097A"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28" w:type="pct"/>
            <w:shd w:val="clear" w:color="auto" w:fill="auto"/>
            <w:noWrap/>
            <w:vAlign w:val="bottom"/>
            <w:hideMark/>
          </w:tcPr>
          <w:p w14:paraId="5DF294F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3E48B2B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C000"/>
          </w:tcPr>
          <w:p w14:paraId="05FC4C0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3</w:t>
            </w:r>
          </w:p>
        </w:tc>
        <w:tc>
          <w:tcPr>
            <w:tcW w:w="258" w:type="pct"/>
            <w:shd w:val="clear" w:color="auto" w:fill="FFC000"/>
          </w:tcPr>
          <w:p w14:paraId="3AFC871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77" w:type="pct"/>
            <w:shd w:val="clear" w:color="auto" w:fill="auto"/>
          </w:tcPr>
          <w:p w14:paraId="04D6AD0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auto"/>
          </w:tcPr>
          <w:p w14:paraId="3AB8F08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63F08F6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tcPr>
          <w:p w14:paraId="1EBB831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1AA10D8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58" w:type="pct"/>
          </w:tcPr>
          <w:p w14:paraId="5AE5C758" w14:textId="523530F6"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w:t>
            </w:r>
          </w:p>
        </w:tc>
        <w:tc>
          <w:tcPr>
            <w:tcW w:w="286" w:type="pct"/>
            <w:shd w:val="clear" w:color="auto" w:fill="auto"/>
          </w:tcPr>
          <w:p w14:paraId="34658B66" w14:textId="42A0E702"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60FB22A9" w14:textId="58F4B138"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2F90DDC5" w14:textId="5F559C57"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8</w:t>
            </w:r>
          </w:p>
        </w:tc>
      </w:tr>
      <w:tr w:rsidR="006E5064" w:rsidRPr="006E5064" w14:paraId="1194FD90" w14:textId="77777777" w:rsidTr="009B1485">
        <w:trPr>
          <w:trHeight w:val="290"/>
        </w:trPr>
        <w:tc>
          <w:tcPr>
            <w:tcW w:w="935" w:type="pct"/>
            <w:shd w:val="clear" w:color="000000" w:fill="162D54"/>
            <w:noWrap/>
            <w:vAlign w:val="bottom"/>
            <w:hideMark/>
          </w:tcPr>
          <w:p w14:paraId="6E73BE23"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30 - 39</w:t>
            </w:r>
          </w:p>
        </w:tc>
        <w:tc>
          <w:tcPr>
            <w:tcW w:w="356" w:type="pct"/>
            <w:shd w:val="clear" w:color="auto" w:fill="auto"/>
            <w:noWrap/>
            <w:vAlign w:val="bottom"/>
            <w:hideMark/>
          </w:tcPr>
          <w:p w14:paraId="69523C0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328" w:type="pct"/>
            <w:shd w:val="clear" w:color="auto" w:fill="auto"/>
            <w:noWrap/>
            <w:vAlign w:val="bottom"/>
            <w:hideMark/>
          </w:tcPr>
          <w:p w14:paraId="12D4AC7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03E7EF6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73D7E40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58" w:type="pct"/>
            <w:shd w:val="clear" w:color="auto" w:fill="auto"/>
          </w:tcPr>
          <w:p w14:paraId="3C5502A5"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FFC000"/>
          </w:tcPr>
          <w:p w14:paraId="24533CB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77" w:type="pct"/>
            <w:shd w:val="clear" w:color="auto" w:fill="auto"/>
          </w:tcPr>
          <w:p w14:paraId="284C60D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152AF7D6"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2" w:type="pct"/>
          </w:tcPr>
          <w:p w14:paraId="2C72924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2" w:type="pct"/>
            <w:shd w:val="clear" w:color="auto" w:fill="auto"/>
          </w:tcPr>
          <w:p w14:paraId="426276D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58" w:type="pct"/>
          </w:tcPr>
          <w:p w14:paraId="4DE66860" w14:textId="5EF117B8"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w:t>
            </w:r>
          </w:p>
        </w:tc>
        <w:tc>
          <w:tcPr>
            <w:tcW w:w="286" w:type="pct"/>
            <w:shd w:val="clear" w:color="auto" w:fill="auto"/>
          </w:tcPr>
          <w:p w14:paraId="6E3A88FD" w14:textId="31CB1E61"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w:t>
            </w:r>
          </w:p>
        </w:tc>
        <w:tc>
          <w:tcPr>
            <w:tcW w:w="263" w:type="pct"/>
            <w:shd w:val="clear" w:color="auto" w:fill="FFC000"/>
          </w:tcPr>
          <w:p w14:paraId="1150D349" w14:textId="7B3ED93F"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4</w:t>
            </w:r>
          </w:p>
        </w:tc>
        <w:tc>
          <w:tcPr>
            <w:tcW w:w="309" w:type="pct"/>
            <w:shd w:val="clear" w:color="auto" w:fill="C6D9F1" w:themeFill="text2" w:themeFillTint="33"/>
            <w:noWrap/>
            <w:vAlign w:val="bottom"/>
            <w:hideMark/>
          </w:tcPr>
          <w:p w14:paraId="5676407E" w14:textId="7DC6721C"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14</w:t>
            </w:r>
          </w:p>
        </w:tc>
      </w:tr>
      <w:tr w:rsidR="006E5064" w:rsidRPr="006E5064" w14:paraId="64CC72FE" w14:textId="77777777" w:rsidTr="006E5064">
        <w:trPr>
          <w:trHeight w:val="290"/>
        </w:trPr>
        <w:tc>
          <w:tcPr>
            <w:tcW w:w="935" w:type="pct"/>
            <w:shd w:val="clear" w:color="000000" w:fill="162D54"/>
            <w:noWrap/>
            <w:vAlign w:val="bottom"/>
            <w:hideMark/>
          </w:tcPr>
          <w:p w14:paraId="1BD04459"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20 - 29</w:t>
            </w:r>
          </w:p>
        </w:tc>
        <w:tc>
          <w:tcPr>
            <w:tcW w:w="356" w:type="pct"/>
            <w:shd w:val="clear" w:color="auto" w:fill="auto"/>
            <w:noWrap/>
            <w:vAlign w:val="bottom"/>
            <w:hideMark/>
          </w:tcPr>
          <w:p w14:paraId="1FDAC54E"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328" w:type="pct"/>
            <w:shd w:val="clear" w:color="auto" w:fill="auto"/>
            <w:noWrap/>
            <w:vAlign w:val="bottom"/>
            <w:hideMark/>
          </w:tcPr>
          <w:p w14:paraId="26CFF2F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12A7C47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4928FCE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58" w:type="pct"/>
            <w:shd w:val="clear" w:color="auto" w:fill="auto"/>
          </w:tcPr>
          <w:p w14:paraId="447BAE9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auto"/>
          </w:tcPr>
          <w:p w14:paraId="57E5D44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auto"/>
          </w:tcPr>
          <w:p w14:paraId="270DD0E8"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auto"/>
          </w:tcPr>
          <w:p w14:paraId="58142CB2"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2" w:type="pct"/>
          </w:tcPr>
          <w:p w14:paraId="19038F65"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38A0CA4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58" w:type="pct"/>
          </w:tcPr>
          <w:p w14:paraId="5F3F68A3" w14:textId="7C10FE7A"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40C3ACAB" w14:textId="5859433B"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28BEAD36" w14:textId="3E3F8ABC"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0B7D665B" w14:textId="64C65BDA"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6</w:t>
            </w:r>
          </w:p>
        </w:tc>
      </w:tr>
      <w:tr w:rsidR="006E5064" w:rsidRPr="006E5064" w14:paraId="3A948033" w14:textId="77777777" w:rsidTr="006E5064">
        <w:trPr>
          <w:trHeight w:val="290"/>
        </w:trPr>
        <w:tc>
          <w:tcPr>
            <w:tcW w:w="935" w:type="pct"/>
            <w:shd w:val="clear" w:color="000000" w:fill="162D54"/>
            <w:noWrap/>
            <w:vAlign w:val="bottom"/>
            <w:hideMark/>
          </w:tcPr>
          <w:p w14:paraId="1264747C"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18 - 19</w:t>
            </w:r>
          </w:p>
        </w:tc>
        <w:tc>
          <w:tcPr>
            <w:tcW w:w="356" w:type="pct"/>
            <w:shd w:val="clear" w:color="auto" w:fill="auto"/>
            <w:noWrap/>
            <w:vAlign w:val="bottom"/>
            <w:hideMark/>
          </w:tcPr>
          <w:p w14:paraId="32D5765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28" w:type="pct"/>
            <w:shd w:val="clear" w:color="auto" w:fill="auto"/>
            <w:noWrap/>
            <w:vAlign w:val="bottom"/>
            <w:hideMark/>
          </w:tcPr>
          <w:p w14:paraId="4229B169"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370" w:type="pct"/>
            <w:shd w:val="clear" w:color="auto" w:fill="auto"/>
            <w:noWrap/>
            <w:vAlign w:val="bottom"/>
            <w:hideMark/>
          </w:tcPr>
          <w:p w14:paraId="5487DFC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77" w:type="pct"/>
            <w:shd w:val="clear" w:color="auto" w:fill="auto"/>
          </w:tcPr>
          <w:p w14:paraId="7BA014C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shd w:val="clear" w:color="auto" w:fill="auto"/>
          </w:tcPr>
          <w:p w14:paraId="474A076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7E0C11F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7" w:type="pct"/>
            <w:shd w:val="clear" w:color="auto" w:fill="auto"/>
          </w:tcPr>
          <w:p w14:paraId="3019954F"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63" w:type="pct"/>
            <w:shd w:val="clear" w:color="auto" w:fill="FFC000"/>
          </w:tcPr>
          <w:p w14:paraId="6081BF4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2</w:t>
            </w:r>
          </w:p>
        </w:tc>
        <w:tc>
          <w:tcPr>
            <w:tcW w:w="272" w:type="pct"/>
            <w:shd w:val="clear" w:color="auto" w:fill="auto"/>
          </w:tcPr>
          <w:p w14:paraId="6C930C5C"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72" w:type="pct"/>
            <w:shd w:val="clear" w:color="auto" w:fill="auto"/>
          </w:tcPr>
          <w:p w14:paraId="604E06E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0</w:t>
            </w:r>
          </w:p>
        </w:tc>
        <w:tc>
          <w:tcPr>
            <w:tcW w:w="258" w:type="pct"/>
          </w:tcPr>
          <w:p w14:paraId="339CDC43" w14:textId="32FF847C"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86" w:type="pct"/>
            <w:shd w:val="clear" w:color="auto" w:fill="auto"/>
          </w:tcPr>
          <w:p w14:paraId="51C84FA6" w14:textId="73752006"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263" w:type="pct"/>
            <w:shd w:val="clear" w:color="auto" w:fill="auto"/>
          </w:tcPr>
          <w:p w14:paraId="62E36834" w14:textId="26BA1C86"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0</w:t>
            </w:r>
          </w:p>
        </w:tc>
        <w:tc>
          <w:tcPr>
            <w:tcW w:w="309" w:type="pct"/>
            <w:shd w:val="clear" w:color="auto" w:fill="C6D9F1" w:themeFill="text2" w:themeFillTint="33"/>
            <w:noWrap/>
            <w:vAlign w:val="bottom"/>
            <w:hideMark/>
          </w:tcPr>
          <w:p w14:paraId="2C6BB1E6" w14:textId="3607C37D"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3</w:t>
            </w:r>
          </w:p>
        </w:tc>
      </w:tr>
      <w:tr w:rsidR="006E5064" w:rsidRPr="006E5064" w14:paraId="57DBCD19" w14:textId="77777777" w:rsidTr="006E5064">
        <w:trPr>
          <w:trHeight w:val="290"/>
        </w:trPr>
        <w:tc>
          <w:tcPr>
            <w:tcW w:w="935" w:type="pct"/>
            <w:shd w:val="clear" w:color="000000" w:fill="162D54"/>
            <w:noWrap/>
            <w:vAlign w:val="bottom"/>
            <w:hideMark/>
          </w:tcPr>
          <w:p w14:paraId="6E06EE7B" w14:textId="77777777" w:rsidR="006E5064" w:rsidRPr="006E5064" w:rsidRDefault="006E5064" w:rsidP="006E5064">
            <w:pPr>
              <w:pStyle w:val="NoSpacing"/>
              <w:rPr>
                <w:rFonts w:ascii="Arial" w:hAnsi="Arial" w:cs="Arial"/>
                <w:color w:val="FFFFFF"/>
                <w:sz w:val="18"/>
                <w:szCs w:val="18"/>
                <w:lang w:eastAsia="en-GB"/>
              </w:rPr>
            </w:pPr>
            <w:r w:rsidRPr="006E5064">
              <w:rPr>
                <w:rFonts w:ascii="Arial" w:hAnsi="Arial" w:cs="Arial"/>
                <w:color w:val="FFFFFF"/>
                <w:sz w:val="18"/>
                <w:szCs w:val="18"/>
                <w:lang w:eastAsia="en-GB"/>
              </w:rPr>
              <w:t>Total</w:t>
            </w:r>
          </w:p>
        </w:tc>
        <w:tc>
          <w:tcPr>
            <w:tcW w:w="356" w:type="pct"/>
            <w:shd w:val="clear" w:color="auto" w:fill="B8CCE4" w:themeFill="accent1" w:themeFillTint="66"/>
            <w:noWrap/>
            <w:vAlign w:val="bottom"/>
            <w:hideMark/>
          </w:tcPr>
          <w:p w14:paraId="1AF7C93D"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6</w:t>
            </w:r>
          </w:p>
        </w:tc>
        <w:tc>
          <w:tcPr>
            <w:tcW w:w="328" w:type="pct"/>
            <w:shd w:val="clear" w:color="auto" w:fill="B8CCE4" w:themeFill="accent1" w:themeFillTint="66"/>
            <w:noWrap/>
            <w:vAlign w:val="bottom"/>
            <w:hideMark/>
          </w:tcPr>
          <w:p w14:paraId="2EEFFA02"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3</w:t>
            </w:r>
          </w:p>
        </w:tc>
        <w:tc>
          <w:tcPr>
            <w:tcW w:w="370" w:type="pct"/>
            <w:shd w:val="clear" w:color="auto" w:fill="B8CCE4" w:themeFill="accent1" w:themeFillTint="66"/>
            <w:noWrap/>
            <w:vAlign w:val="bottom"/>
            <w:hideMark/>
          </w:tcPr>
          <w:p w14:paraId="4756F831"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6</w:t>
            </w:r>
          </w:p>
        </w:tc>
        <w:tc>
          <w:tcPr>
            <w:tcW w:w="277" w:type="pct"/>
            <w:shd w:val="clear" w:color="auto" w:fill="B8CCE4" w:themeFill="accent1" w:themeFillTint="66"/>
          </w:tcPr>
          <w:p w14:paraId="6E7C44FE"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7</w:t>
            </w:r>
          </w:p>
        </w:tc>
        <w:tc>
          <w:tcPr>
            <w:tcW w:w="258" w:type="pct"/>
            <w:shd w:val="clear" w:color="auto" w:fill="B8CCE4" w:themeFill="accent1" w:themeFillTint="66"/>
          </w:tcPr>
          <w:p w14:paraId="306FB245"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5</w:t>
            </w:r>
          </w:p>
        </w:tc>
        <w:tc>
          <w:tcPr>
            <w:tcW w:w="277" w:type="pct"/>
            <w:shd w:val="clear" w:color="auto" w:fill="B8CCE4" w:themeFill="accent1" w:themeFillTint="66"/>
          </w:tcPr>
          <w:p w14:paraId="4816CD6B"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4</w:t>
            </w:r>
          </w:p>
        </w:tc>
        <w:tc>
          <w:tcPr>
            <w:tcW w:w="277" w:type="pct"/>
            <w:shd w:val="clear" w:color="auto" w:fill="B8CCE4" w:themeFill="accent1" w:themeFillTint="66"/>
          </w:tcPr>
          <w:p w14:paraId="2DD35F3C"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1</w:t>
            </w:r>
          </w:p>
        </w:tc>
        <w:tc>
          <w:tcPr>
            <w:tcW w:w="263" w:type="pct"/>
            <w:shd w:val="clear" w:color="auto" w:fill="B8CCE4" w:themeFill="accent1" w:themeFillTint="66"/>
          </w:tcPr>
          <w:p w14:paraId="20F940B7"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6</w:t>
            </w:r>
          </w:p>
        </w:tc>
        <w:tc>
          <w:tcPr>
            <w:tcW w:w="272" w:type="pct"/>
            <w:shd w:val="clear" w:color="auto" w:fill="B8CCE4" w:themeFill="accent1" w:themeFillTint="66"/>
          </w:tcPr>
          <w:p w14:paraId="15345DA3"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3</w:t>
            </w:r>
          </w:p>
        </w:tc>
        <w:tc>
          <w:tcPr>
            <w:tcW w:w="272" w:type="pct"/>
            <w:shd w:val="clear" w:color="auto" w:fill="B8CCE4" w:themeFill="accent1" w:themeFillTint="66"/>
          </w:tcPr>
          <w:p w14:paraId="14F8EFB0" w14:textId="77777777" w:rsidR="006E5064" w:rsidRPr="006E5064" w:rsidRDefault="006E5064" w:rsidP="006E5064">
            <w:pPr>
              <w:pStyle w:val="NoSpacing"/>
              <w:rPr>
                <w:rFonts w:ascii="Arial" w:hAnsi="Arial" w:cs="Arial"/>
                <w:sz w:val="18"/>
                <w:szCs w:val="18"/>
                <w:lang w:eastAsia="en-GB"/>
              </w:rPr>
            </w:pPr>
            <w:r w:rsidRPr="006E5064">
              <w:rPr>
                <w:rFonts w:ascii="Arial" w:hAnsi="Arial" w:cs="Arial"/>
                <w:sz w:val="18"/>
                <w:szCs w:val="18"/>
                <w:lang w:eastAsia="en-GB"/>
              </w:rPr>
              <w:t>8</w:t>
            </w:r>
          </w:p>
        </w:tc>
        <w:tc>
          <w:tcPr>
            <w:tcW w:w="258" w:type="pct"/>
            <w:shd w:val="clear" w:color="auto" w:fill="B8CCE4" w:themeFill="accent1" w:themeFillTint="66"/>
          </w:tcPr>
          <w:p w14:paraId="51C59B64" w14:textId="24740919"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3</w:t>
            </w:r>
          </w:p>
        </w:tc>
        <w:tc>
          <w:tcPr>
            <w:tcW w:w="286" w:type="pct"/>
            <w:shd w:val="clear" w:color="auto" w:fill="B8CCE4" w:themeFill="accent1" w:themeFillTint="66"/>
          </w:tcPr>
          <w:p w14:paraId="1ED02A04" w14:textId="6F5A6E1A"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3</w:t>
            </w:r>
          </w:p>
        </w:tc>
        <w:tc>
          <w:tcPr>
            <w:tcW w:w="263" w:type="pct"/>
            <w:shd w:val="clear" w:color="auto" w:fill="B8CCE4" w:themeFill="accent1" w:themeFillTint="66"/>
          </w:tcPr>
          <w:p w14:paraId="22357508" w14:textId="4CE50C6F"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8</w:t>
            </w:r>
          </w:p>
        </w:tc>
        <w:tc>
          <w:tcPr>
            <w:tcW w:w="309" w:type="pct"/>
            <w:shd w:val="clear" w:color="auto" w:fill="B8CCE4" w:themeFill="accent1" w:themeFillTint="66"/>
            <w:noWrap/>
            <w:vAlign w:val="bottom"/>
            <w:hideMark/>
          </w:tcPr>
          <w:p w14:paraId="2D0FF2A1" w14:textId="420C4EE9" w:rsidR="006E5064" w:rsidRPr="006E5064" w:rsidRDefault="006E5064" w:rsidP="006E5064">
            <w:pPr>
              <w:pStyle w:val="NoSpacing"/>
              <w:rPr>
                <w:rFonts w:ascii="Arial" w:hAnsi="Arial" w:cs="Arial"/>
                <w:sz w:val="18"/>
                <w:szCs w:val="18"/>
                <w:lang w:eastAsia="en-GB"/>
              </w:rPr>
            </w:pPr>
            <w:r>
              <w:rPr>
                <w:rFonts w:ascii="Arial" w:hAnsi="Arial" w:cs="Arial"/>
                <w:sz w:val="18"/>
                <w:szCs w:val="18"/>
                <w:lang w:eastAsia="en-GB"/>
              </w:rPr>
              <w:t>63</w:t>
            </w:r>
          </w:p>
        </w:tc>
      </w:tr>
    </w:tbl>
    <w:p w14:paraId="7B83F5CB" w14:textId="47FE4834" w:rsidR="00755BE0" w:rsidRDefault="00755BE0" w:rsidP="00C40BE2">
      <w:pPr>
        <w:pStyle w:val="NormalWeb"/>
        <w:rPr>
          <w:rFonts w:ascii="Arial" w:hAnsi="Arial" w:cs="Arial"/>
          <w:color w:val="000000"/>
          <w:sz w:val="22"/>
          <w:szCs w:val="22"/>
          <w:lang w:eastAsia="en-US"/>
        </w:rPr>
      </w:pPr>
    </w:p>
    <w:p w14:paraId="584EC6EA" w14:textId="77777777" w:rsidR="000828EE" w:rsidRDefault="000828EE" w:rsidP="00C40BE2">
      <w:pPr>
        <w:pStyle w:val="NormalWeb"/>
        <w:rPr>
          <w:rFonts w:ascii="Arial" w:hAnsi="Arial" w:cs="Arial"/>
          <w:b/>
          <w:color w:val="000000"/>
          <w:sz w:val="22"/>
          <w:szCs w:val="22"/>
          <w:lang w:eastAsia="en-US"/>
        </w:rPr>
      </w:pPr>
    </w:p>
    <w:p w14:paraId="0124CD8F" w14:textId="5F303ADB" w:rsidR="00E17D54" w:rsidRPr="00E17D54" w:rsidRDefault="00E17D54" w:rsidP="00C40BE2">
      <w:pPr>
        <w:pStyle w:val="NormalWeb"/>
        <w:rPr>
          <w:rFonts w:ascii="Arial" w:hAnsi="Arial" w:cs="Arial"/>
          <w:b/>
          <w:color w:val="000000"/>
          <w:sz w:val="22"/>
          <w:szCs w:val="22"/>
          <w:lang w:eastAsia="en-US"/>
        </w:rPr>
      </w:pPr>
      <w:r w:rsidRPr="00E17D54">
        <w:rPr>
          <w:rFonts w:ascii="Arial" w:hAnsi="Arial" w:cs="Arial"/>
          <w:b/>
          <w:color w:val="000000"/>
          <w:sz w:val="22"/>
          <w:szCs w:val="22"/>
          <w:lang w:eastAsia="en-US"/>
        </w:rPr>
        <w:t>Figure 1</w:t>
      </w:r>
      <w:r w:rsidR="00CD3254">
        <w:rPr>
          <w:rFonts w:ascii="Arial" w:hAnsi="Arial" w:cs="Arial"/>
          <w:b/>
          <w:color w:val="000000"/>
          <w:sz w:val="22"/>
          <w:szCs w:val="22"/>
          <w:lang w:eastAsia="en-US"/>
        </w:rPr>
        <w:t>0</w:t>
      </w:r>
      <w:r w:rsidRPr="00E17D54">
        <w:rPr>
          <w:rFonts w:ascii="Arial" w:hAnsi="Arial" w:cs="Arial"/>
          <w:b/>
          <w:color w:val="000000"/>
          <w:sz w:val="22"/>
          <w:szCs w:val="22"/>
          <w:lang w:eastAsia="en-US"/>
        </w:rPr>
        <w:t>: Suspected suicide by gender</w:t>
      </w:r>
    </w:p>
    <w:p w14:paraId="4075477B" w14:textId="5D91D13E" w:rsidR="00E17D54" w:rsidRDefault="009B1485" w:rsidP="00C40BE2">
      <w:pPr>
        <w:pStyle w:val="NormalWeb"/>
        <w:rPr>
          <w:rFonts w:ascii="Arial" w:hAnsi="Arial" w:cs="Arial"/>
          <w:color w:val="000000"/>
          <w:sz w:val="22"/>
          <w:szCs w:val="22"/>
          <w:lang w:eastAsia="en-US"/>
        </w:rPr>
      </w:pPr>
      <w:r>
        <w:rPr>
          <w:noProof/>
        </w:rPr>
        <w:lastRenderedPageBreak/>
        <w:drawing>
          <wp:inline distT="0" distB="0" distL="0" distR="0" wp14:anchorId="63C9DACE" wp14:editId="239499AD">
            <wp:extent cx="6134100" cy="1924050"/>
            <wp:effectExtent l="0" t="0" r="0" b="0"/>
            <wp:docPr id="1" name="Chart 1">
              <a:extLst xmlns:a="http://schemas.openxmlformats.org/drawingml/2006/main">
                <a:ext uri="{FF2B5EF4-FFF2-40B4-BE49-F238E27FC236}">
                  <a16:creationId xmlns:a16="http://schemas.microsoft.com/office/drawing/2014/main" id="{231440CA-A201-478F-8613-E1574E5C5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151449" w14:textId="77777777" w:rsidR="004E1D9A" w:rsidRDefault="004E1D9A" w:rsidP="00C40BE2">
      <w:pPr>
        <w:pStyle w:val="NormalWeb"/>
        <w:rPr>
          <w:rFonts w:ascii="Arial" w:hAnsi="Arial" w:cs="Arial"/>
          <w:color w:val="000000"/>
          <w:sz w:val="22"/>
          <w:szCs w:val="22"/>
          <w:lang w:eastAsia="en-US"/>
        </w:rPr>
      </w:pPr>
    </w:p>
    <w:p w14:paraId="2873D9D0" w14:textId="77777777" w:rsidR="00EE2F59" w:rsidRDefault="00A3723C" w:rsidP="00A9138E">
      <w:pPr>
        <w:rPr>
          <w:rFonts w:ascii="Arial" w:hAnsi="Arial" w:cs="Arial"/>
        </w:rPr>
      </w:pPr>
      <w:r>
        <w:rPr>
          <w:rFonts w:ascii="Arial" w:hAnsi="Arial" w:cs="Arial"/>
        </w:rPr>
        <w:t>4</w:t>
      </w:r>
      <w:r w:rsidR="000951D1">
        <w:rPr>
          <w:rFonts w:ascii="Arial" w:hAnsi="Arial" w:cs="Arial"/>
        </w:rPr>
        <w:t>.1 As previously highlighted to the board, t</w:t>
      </w:r>
      <w:r w:rsidR="000951D1" w:rsidRPr="00630790">
        <w:rPr>
          <w:rFonts w:ascii="Arial" w:hAnsi="Arial" w:cs="Arial"/>
        </w:rPr>
        <w:t xml:space="preserve">he most </w:t>
      </w:r>
      <w:hyperlink r:id="rId15" w:history="1">
        <w:r w:rsidR="000951D1" w:rsidRPr="00630790">
          <w:rPr>
            <w:rStyle w:val="Hyperlink"/>
            <w:rFonts w:ascii="Arial" w:hAnsi="Arial" w:cs="Arial"/>
          </w:rPr>
          <w:t>recent ONS stats</w:t>
        </w:r>
      </w:hyperlink>
      <w:r w:rsidR="000951D1" w:rsidRPr="00630790">
        <w:rPr>
          <w:rFonts w:ascii="Arial" w:hAnsi="Arial" w:cs="Arial"/>
        </w:rPr>
        <w:t xml:space="preserve"> for the period 2021-2023 placed the Kent (11.7) and Medway (12) rates at slightly higher than the average for England (10.7).</w:t>
      </w:r>
      <w:r w:rsidR="00232770">
        <w:rPr>
          <w:rFonts w:ascii="Arial" w:hAnsi="Arial" w:cs="Arial"/>
        </w:rPr>
        <w:t xml:space="preserve"> </w:t>
      </w:r>
    </w:p>
    <w:p w14:paraId="7772361D" w14:textId="16D84AAE" w:rsidR="0050568C" w:rsidRDefault="00EE2F59" w:rsidP="00CD3254">
      <w:pPr>
        <w:rPr>
          <w:rFonts w:ascii="Arial" w:hAnsi="Arial" w:cs="Arial"/>
        </w:rPr>
      </w:pPr>
      <w:r>
        <w:rPr>
          <w:rFonts w:ascii="Arial" w:hAnsi="Arial" w:cs="Arial"/>
        </w:rPr>
        <w:t xml:space="preserve">4.2 </w:t>
      </w:r>
      <w:r w:rsidR="00232770">
        <w:rPr>
          <w:rFonts w:ascii="Arial" w:hAnsi="Arial" w:cs="Arial"/>
        </w:rPr>
        <w:t xml:space="preserve">Kent and Medway Real Time Suicide </w:t>
      </w:r>
      <w:r>
        <w:rPr>
          <w:rFonts w:ascii="Arial" w:hAnsi="Arial" w:cs="Arial"/>
        </w:rPr>
        <w:t>Surveillance</w:t>
      </w:r>
      <w:r w:rsidR="00232770">
        <w:rPr>
          <w:rFonts w:ascii="Arial" w:hAnsi="Arial" w:cs="Arial"/>
        </w:rPr>
        <w:t xml:space="preserve"> (RTSS) </w:t>
      </w:r>
      <w:r>
        <w:rPr>
          <w:rFonts w:ascii="Arial" w:hAnsi="Arial" w:cs="Arial"/>
        </w:rPr>
        <w:t xml:space="preserve">is shared with the Trust on a monthly and annual basis. Recent data showed that the number of suicides between January and May 2025 does appear to be higher than the same period in 2024, however the numbers of suspected suicides in the recent 3 months (as of July 2025) have been lower, with the gap continuing to close. RTSS data shows that, </w:t>
      </w:r>
      <w:r w:rsidRPr="00EE2F59">
        <w:rPr>
          <w:rFonts w:ascii="Arial" w:hAnsi="Arial" w:cs="Arial"/>
        </w:rPr>
        <w:t>Kent and Medway wide, the highest number of suspected suicides are (as of July 2025) in Medway and Tunbridge Wells.</w:t>
      </w:r>
      <w:r>
        <w:rPr>
          <w:rFonts w:ascii="Arial" w:hAnsi="Arial" w:cs="Arial"/>
        </w:rPr>
        <w:t xml:space="preserve"> This data includes all individuals living in Kent and Medway. Not all of whom would have been open or known to mental health services.</w:t>
      </w:r>
    </w:p>
    <w:p w14:paraId="7392EA85" w14:textId="3F3F6D9D" w:rsidR="0050568C" w:rsidRDefault="00472E91" w:rsidP="0050568C">
      <w:pPr>
        <w:pStyle w:val="ListNumber2"/>
        <w:numPr>
          <w:ilvl w:val="0"/>
          <w:numId w:val="0"/>
        </w:numPr>
        <w:rPr>
          <w:rFonts w:ascii="Arial" w:hAnsi="Arial" w:cs="Arial"/>
        </w:rPr>
      </w:pPr>
      <w:r>
        <w:rPr>
          <w:rFonts w:ascii="Arial" w:hAnsi="Arial" w:cs="Arial"/>
        </w:rPr>
        <w:t xml:space="preserve">4.3 </w:t>
      </w:r>
      <w:r w:rsidR="0050568C">
        <w:rPr>
          <w:rFonts w:ascii="Arial" w:hAnsi="Arial" w:cs="Arial"/>
        </w:rPr>
        <w:t xml:space="preserve">Digital changes to the risk forms in </w:t>
      </w:r>
      <w:proofErr w:type="spellStart"/>
      <w:r w:rsidR="0050568C">
        <w:rPr>
          <w:rFonts w:ascii="Arial" w:hAnsi="Arial" w:cs="Arial"/>
        </w:rPr>
        <w:t>RiO</w:t>
      </w:r>
      <w:proofErr w:type="spellEnd"/>
      <w:r w:rsidR="0050568C">
        <w:rPr>
          <w:rFonts w:ascii="Arial" w:hAnsi="Arial" w:cs="Arial"/>
        </w:rPr>
        <w:t xml:space="preserve"> went live across the Trust on 28</w:t>
      </w:r>
      <w:r w:rsidR="0050568C" w:rsidRPr="00491488">
        <w:rPr>
          <w:rFonts w:ascii="Arial" w:hAnsi="Arial" w:cs="Arial"/>
          <w:vertAlign w:val="superscript"/>
        </w:rPr>
        <w:t>th</w:t>
      </w:r>
      <w:r w:rsidR="0050568C">
        <w:rPr>
          <w:rFonts w:ascii="Arial" w:hAnsi="Arial" w:cs="Arial"/>
        </w:rPr>
        <w:t xml:space="preserve"> May 2025. This means that risk assessment forms used before this date were replaced with new forms, including, risk formulation, safety plan and next steps. </w:t>
      </w:r>
      <w:r w:rsidR="00995747">
        <w:rPr>
          <w:rFonts w:ascii="Arial" w:hAnsi="Arial" w:cs="Arial"/>
        </w:rPr>
        <w:t xml:space="preserve">This work aligns with the NICE guidance on self-harm and risk assessment (NG225). </w:t>
      </w:r>
      <w:r w:rsidR="0050568C">
        <w:rPr>
          <w:rFonts w:ascii="Arial" w:hAnsi="Arial" w:cs="Arial"/>
        </w:rPr>
        <w:t>In preparation for going live with this change, the following was implemented:</w:t>
      </w:r>
    </w:p>
    <w:p w14:paraId="663BF769" w14:textId="77777777" w:rsidR="0050568C" w:rsidRDefault="0050568C" w:rsidP="0050568C">
      <w:pPr>
        <w:pStyle w:val="ListNumber2"/>
        <w:numPr>
          <w:ilvl w:val="0"/>
          <w:numId w:val="0"/>
        </w:numPr>
        <w:rPr>
          <w:rFonts w:ascii="Arial" w:hAnsi="Arial" w:cs="Arial"/>
        </w:rPr>
      </w:pPr>
    </w:p>
    <w:p w14:paraId="258F642B" w14:textId="70B18A02" w:rsidR="0050568C" w:rsidRDefault="0050568C" w:rsidP="0050568C">
      <w:pPr>
        <w:pStyle w:val="ListNumber2"/>
        <w:numPr>
          <w:ilvl w:val="0"/>
          <w:numId w:val="35"/>
        </w:numPr>
        <w:rPr>
          <w:rFonts w:ascii="Arial" w:hAnsi="Arial" w:cs="Arial"/>
        </w:rPr>
      </w:pPr>
      <w:r w:rsidRPr="00CD3254">
        <w:rPr>
          <w:rFonts w:ascii="Arial" w:hAnsi="Arial" w:cs="Arial"/>
          <w:b/>
        </w:rPr>
        <w:t>Staffroom Risk Assessment Hub</w:t>
      </w:r>
      <w:r w:rsidR="00CD3254">
        <w:rPr>
          <w:rFonts w:ascii="Arial" w:hAnsi="Arial" w:cs="Arial"/>
        </w:rPr>
        <w:t>.</w:t>
      </w:r>
      <w:r>
        <w:rPr>
          <w:rFonts w:ascii="Arial" w:hAnsi="Arial" w:cs="Arial"/>
        </w:rPr>
        <w:t xml:space="preserve"> Notifications and documents add</w:t>
      </w:r>
      <w:r w:rsidR="00480E5D">
        <w:rPr>
          <w:rFonts w:ascii="Arial" w:hAnsi="Arial" w:cs="Arial"/>
        </w:rPr>
        <w:t>ed</w:t>
      </w:r>
      <w:r>
        <w:rPr>
          <w:rFonts w:ascii="Arial" w:hAnsi="Arial" w:cs="Arial"/>
        </w:rPr>
        <w:t xml:space="preserve"> to the risk assessment hub on staffroom to keep clinicians up to date of the changes.</w:t>
      </w:r>
    </w:p>
    <w:p w14:paraId="0902841D" w14:textId="77777777" w:rsidR="0050568C" w:rsidRDefault="0050568C" w:rsidP="0050568C">
      <w:pPr>
        <w:pStyle w:val="ListNumber2"/>
        <w:numPr>
          <w:ilvl w:val="0"/>
          <w:numId w:val="0"/>
        </w:numPr>
        <w:rPr>
          <w:rFonts w:ascii="Arial" w:hAnsi="Arial" w:cs="Arial"/>
        </w:rPr>
      </w:pPr>
    </w:p>
    <w:p w14:paraId="409312BE" w14:textId="77777777" w:rsidR="0050568C" w:rsidRDefault="0050568C" w:rsidP="0050568C">
      <w:pPr>
        <w:pStyle w:val="ListNumber2"/>
        <w:numPr>
          <w:ilvl w:val="0"/>
          <w:numId w:val="35"/>
        </w:numPr>
        <w:rPr>
          <w:rFonts w:ascii="Arial" w:hAnsi="Arial" w:cs="Arial"/>
        </w:rPr>
      </w:pPr>
      <w:r w:rsidRPr="00CD3254">
        <w:rPr>
          <w:rFonts w:ascii="Arial" w:hAnsi="Arial" w:cs="Arial"/>
          <w:b/>
        </w:rPr>
        <w:t xml:space="preserve">Risk screensavers </w:t>
      </w:r>
      <w:r w:rsidRPr="00CD3254">
        <w:rPr>
          <w:rFonts w:ascii="Arial" w:hAnsi="Arial" w:cs="Arial"/>
        </w:rPr>
        <w:t>were created to promote the changes</w:t>
      </w:r>
      <w:r w:rsidRPr="00CD3254">
        <w:rPr>
          <w:rFonts w:ascii="Arial" w:hAnsi="Arial" w:cs="Arial"/>
          <w:b/>
        </w:rPr>
        <w:t>.</w:t>
      </w:r>
      <w:r>
        <w:rPr>
          <w:rFonts w:ascii="Arial" w:hAnsi="Arial" w:cs="Arial"/>
        </w:rPr>
        <w:t xml:space="preserve"> Specific screensavers were designed for Risk Champions.</w:t>
      </w:r>
    </w:p>
    <w:p w14:paraId="6542E46E" w14:textId="77777777" w:rsidR="0050568C" w:rsidRDefault="0050568C" w:rsidP="0050568C">
      <w:pPr>
        <w:pStyle w:val="ListNumber2"/>
        <w:numPr>
          <w:ilvl w:val="0"/>
          <w:numId w:val="0"/>
        </w:numPr>
        <w:rPr>
          <w:rFonts w:ascii="Arial" w:hAnsi="Arial" w:cs="Arial"/>
        </w:rPr>
      </w:pPr>
    </w:p>
    <w:p w14:paraId="52422EE5" w14:textId="77777777" w:rsidR="0050568C" w:rsidRDefault="0050568C" w:rsidP="0050568C">
      <w:pPr>
        <w:pStyle w:val="ListNumber2"/>
        <w:numPr>
          <w:ilvl w:val="0"/>
          <w:numId w:val="35"/>
        </w:numPr>
        <w:rPr>
          <w:rFonts w:ascii="Arial" w:hAnsi="Arial" w:cs="Arial"/>
        </w:rPr>
      </w:pPr>
      <w:r w:rsidRPr="00CD3254">
        <w:rPr>
          <w:rFonts w:ascii="Arial" w:hAnsi="Arial" w:cs="Arial"/>
          <w:b/>
        </w:rPr>
        <w:t>Updated Clinical Risk and Management Policy,</w:t>
      </w:r>
      <w:r>
        <w:rPr>
          <w:rFonts w:ascii="Arial" w:hAnsi="Arial" w:cs="Arial"/>
        </w:rPr>
        <w:t xml:space="preserve"> including a Standard Operating Procedure (SOP), summary of the process</w:t>
      </w:r>
    </w:p>
    <w:p w14:paraId="500DE65A" w14:textId="77777777" w:rsidR="0050568C" w:rsidRPr="00491488" w:rsidRDefault="0050568C" w:rsidP="0050568C">
      <w:pPr>
        <w:pStyle w:val="ListNumber2"/>
        <w:numPr>
          <w:ilvl w:val="0"/>
          <w:numId w:val="0"/>
        </w:numPr>
        <w:rPr>
          <w:rFonts w:ascii="Arial" w:hAnsi="Arial" w:cs="Arial"/>
        </w:rPr>
      </w:pPr>
    </w:p>
    <w:p w14:paraId="404AD865" w14:textId="77777777" w:rsidR="0050568C" w:rsidRDefault="0050568C" w:rsidP="0050568C">
      <w:pPr>
        <w:pStyle w:val="ListNumber2"/>
        <w:numPr>
          <w:ilvl w:val="0"/>
          <w:numId w:val="35"/>
        </w:numPr>
        <w:rPr>
          <w:rFonts w:ascii="Arial" w:hAnsi="Arial" w:cs="Arial"/>
        </w:rPr>
      </w:pPr>
      <w:r w:rsidRPr="00CD3254">
        <w:rPr>
          <w:rFonts w:ascii="Arial" w:hAnsi="Arial" w:cs="Arial"/>
          <w:b/>
        </w:rPr>
        <w:t>Risk formulation training sessions</w:t>
      </w:r>
      <w:r>
        <w:rPr>
          <w:rFonts w:ascii="Arial" w:hAnsi="Arial" w:cs="Arial"/>
        </w:rPr>
        <w:t xml:space="preserve">, facilitated by the Clinical Risk and Suicide Prevention Trainer, Approximately 89 clinicians are not trained as </w:t>
      </w:r>
      <w:proofErr w:type="spellStart"/>
      <w:r>
        <w:rPr>
          <w:rFonts w:ascii="Arial" w:hAnsi="Arial" w:cs="Arial"/>
        </w:rPr>
        <w:t>RiO</w:t>
      </w:r>
      <w:proofErr w:type="spellEnd"/>
      <w:r>
        <w:rPr>
          <w:rFonts w:ascii="Arial" w:hAnsi="Arial" w:cs="Arial"/>
        </w:rPr>
        <w:t xml:space="preserve"> risk Champions.</w:t>
      </w:r>
    </w:p>
    <w:p w14:paraId="125C8265" w14:textId="77777777" w:rsidR="0050568C" w:rsidRPr="00491488" w:rsidRDefault="0050568C" w:rsidP="0050568C">
      <w:pPr>
        <w:pStyle w:val="ListNumber2"/>
        <w:numPr>
          <w:ilvl w:val="0"/>
          <w:numId w:val="0"/>
        </w:numPr>
        <w:rPr>
          <w:rFonts w:ascii="Arial" w:hAnsi="Arial" w:cs="Arial"/>
        </w:rPr>
      </w:pPr>
    </w:p>
    <w:p w14:paraId="02031F28" w14:textId="77777777" w:rsidR="0050568C" w:rsidRDefault="0050568C" w:rsidP="0050568C">
      <w:pPr>
        <w:pStyle w:val="ListNumber2"/>
        <w:numPr>
          <w:ilvl w:val="0"/>
          <w:numId w:val="35"/>
        </w:numPr>
        <w:rPr>
          <w:rFonts w:ascii="Arial" w:hAnsi="Arial" w:cs="Arial"/>
        </w:rPr>
      </w:pPr>
      <w:r w:rsidRPr="00CD3254">
        <w:rPr>
          <w:rFonts w:ascii="Arial" w:hAnsi="Arial" w:cs="Arial"/>
          <w:b/>
        </w:rPr>
        <w:t>3 Risk conversation meetings held in May</w:t>
      </w:r>
      <w:r>
        <w:rPr>
          <w:rFonts w:ascii="Arial" w:hAnsi="Arial" w:cs="Arial"/>
        </w:rPr>
        <w:t xml:space="preserve"> with champions to address any question and offer support. </w:t>
      </w:r>
    </w:p>
    <w:p w14:paraId="4CCEF96D" w14:textId="77777777" w:rsidR="0050568C" w:rsidRPr="00491488" w:rsidRDefault="0050568C" w:rsidP="0050568C">
      <w:pPr>
        <w:pStyle w:val="ListNumber2"/>
        <w:numPr>
          <w:ilvl w:val="0"/>
          <w:numId w:val="0"/>
        </w:numPr>
        <w:rPr>
          <w:rFonts w:ascii="Arial" w:hAnsi="Arial" w:cs="Arial"/>
        </w:rPr>
      </w:pPr>
    </w:p>
    <w:p w14:paraId="79B42D44" w14:textId="205BD0D6" w:rsidR="00472E91" w:rsidRDefault="0050568C" w:rsidP="00472E91">
      <w:pPr>
        <w:pStyle w:val="ListNumber2"/>
        <w:numPr>
          <w:ilvl w:val="0"/>
          <w:numId w:val="35"/>
        </w:numPr>
        <w:rPr>
          <w:rFonts w:ascii="Arial" w:hAnsi="Arial" w:cs="Arial"/>
        </w:rPr>
      </w:pPr>
      <w:r w:rsidRPr="00CD3254">
        <w:rPr>
          <w:rFonts w:ascii="Arial" w:hAnsi="Arial" w:cs="Arial"/>
          <w:b/>
        </w:rPr>
        <w:lastRenderedPageBreak/>
        <w:t>Weekly suicide risk implementation and improvement meetings.</w:t>
      </w:r>
      <w:r>
        <w:rPr>
          <w:rFonts w:ascii="Arial" w:hAnsi="Arial" w:cs="Arial"/>
        </w:rPr>
        <w:t xml:space="preserve"> Member</w:t>
      </w:r>
      <w:r w:rsidR="000828EE">
        <w:rPr>
          <w:rFonts w:ascii="Arial" w:hAnsi="Arial" w:cs="Arial"/>
        </w:rPr>
        <w:t>ship</w:t>
      </w:r>
      <w:r>
        <w:rPr>
          <w:rFonts w:ascii="Arial" w:hAnsi="Arial" w:cs="Arial"/>
        </w:rPr>
        <w:t xml:space="preserve"> is made up of patient safety, digital, improvement and suicide prevention to monitor progress and address any concerns.</w:t>
      </w:r>
    </w:p>
    <w:p w14:paraId="524AF7E7" w14:textId="2FF1174D" w:rsidR="002D466C" w:rsidRPr="00472E91" w:rsidRDefault="00472E91" w:rsidP="00472E91">
      <w:pPr>
        <w:rPr>
          <w:rFonts w:ascii="Arial" w:hAnsi="Arial" w:cs="Arial"/>
        </w:rPr>
      </w:pPr>
      <w:r w:rsidRPr="00472E91">
        <w:rPr>
          <w:rFonts w:ascii="Arial" w:hAnsi="Arial" w:cs="Arial"/>
        </w:rPr>
        <w:t xml:space="preserve">4.4 </w:t>
      </w:r>
      <w:r w:rsidR="002D466C" w:rsidRPr="00472E91">
        <w:rPr>
          <w:rFonts w:ascii="Arial" w:hAnsi="Arial" w:cs="Arial"/>
        </w:rPr>
        <w:t xml:space="preserve">Figure 8 shows that </w:t>
      </w:r>
      <w:bookmarkStart w:id="1" w:name="_Hlk194664029"/>
      <w:r w:rsidR="002D466C" w:rsidRPr="00472E91">
        <w:rPr>
          <w:rFonts w:ascii="Arial" w:hAnsi="Arial" w:cs="Arial"/>
        </w:rPr>
        <w:t xml:space="preserve">there has been variation in the rate of suspected suicides reported each month. </w:t>
      </w:r>
      <w:bookmarkEnd w:id="1"/>
      <w:r w:rsidR="002D466C" w:rsidRPr="00472E91">
        <w:rPr>
          <w:rFonts w:ascii="Arial" w:hAnsi="Arial" w:cs="Arial"/>
        </w:rPr>
        <w:t>Natural cause variation is expected, however, there has been a noticeable increase in June 2025 with a total of 8 suspected suicides reported, following what seemed to be a decrease in April and May.</w:t>
      </w:r>
    </w:p>
    <w:p w14:paraId="21153203" w14:textId="54E55ED8" w:rsidR="002D466C" w:rsidRPr="00004B9C" w:rsidRDefault="002D466C" w:rsidP="00004B9C">
      <w:pPr>
        <w:rPr>
          <w:rFonts w:ascii="Arial" w:hAnsi="Arial" w:cs="Arial"/>
        </w:rPr>
      </w:pPr>
      <w:r w:rsidRPr="00004B9C">
        <w:rPr>
          <w:rFonts w:ascii="Arial" w:hAnsi="Arial" w:cs="Arial"/>
        </w:rPr>
        <w:t>4.</w:t>
      </w:r>
      <w:r w:rsidR="00472E91">
        <w:rPr>
          <w:rFonts w:ascii="Arial" w:hAnsi="Arial" w:cs="Arial"/>
        </w:rPr>
        <w:t>5</w:t>
      </w:r>
      <w:r w:rsidRPr="00004B9C">
        <w:rPr>
          <w:rFonts w:ascii="Arial" w:hAnsi="Arial" w:cs="Arial"/>
        </w:rPr>
        <w:t xml:space="preserve"> A review is currently underway to explore the increase, and determine if there is any correlation between service and team, or change in process, specifically the implementation of new risk forms from 28</w:t>
      </w:r>
      <w:r w:rsidRPr="00004B9C">
        <w:rPr>
          <w:rFonts w:ascii="Arial" w:hAnsi="Arial" w:cs="Arial"/>
          <w:vertAlign w:val="superscript"/>
        </w:rPr>
        <w:t>th</w:t>
      </w:r>
      <w:r w:rsidRPr="00004B9C">
        <w:rPr>
          <w:rFonts w:ascii="Arial" w:hAnsi="Arial" w:cs="Arial"/>
        </w:rPr>
        <w:t xml:space="preserve"> May 2025.</w:t>
      </w:r>
      <w:r w:rsidR="00CD3254">
        <w:rPr>
          <w:rFonts w:ascii="Arial" w:hAnsi="Arial" w:cs="Arial"/>
        </w:rPr>
        <w:t xml:space="preserve"> An audit on risk forms 3 months post implementation will also be completed, assess how the process is working and any areas of focus that may be required.</w:t>
      </w:r>
    </w:p>
    <w:p w14:paraId="61E26052" w14:textId="507F3B57" w:rsidR="002D466C" w:rsidRPr="00004B9C" w:rsidRDefault="002D466C" w:rsidP="002D466C">
      <w:pPr>
        <w:pStyle w:val="NormalWeb"/>
        <w:rPr>
          <w:rFonts w:ascii="Arial" w:hAnsi="Arial" w:cs="Arial"/>
          <w:color w:val="000000"/>
          <w:sz w:val="22"/>
          <w:szCs w:val="22"/>
          <w:lang w:eastAsia="en-US"/>
        </w:rPr>
      </w:pPr>
      <w:r w:rsidRPr="00004B9C">
        <w:rPr>
          <w:rFonts w:ascii="Arial" w:hAnsi="Arial" w:cs="Arial"/>
          <w:color w:val="000000"/>
          <w:sz w:val="22"/>
          <w:szCs w:val="22"/>
          <w:lang w:eastAsia="en-US"/>
        </w:rPr>
        <w:t>4.</w:t>
      </w:r>
      <w:r w:rsidR="00472E91">
        <w:rPr>
          <w:rFonts w:ascii="Arial" w:hAnsi="Arial" w:cs="Arial"/>
          <w:color w:val="000000"/>
          <w:sz w:val="22"/>
          <w:szCs w:val="22"/>
          <w:lang w:eastAsia="en-US"/>
        </w:rPr>
        <w:t>6</w:t>
      </w:r>
      <w:r w:rsidRPr="00004B9C">
        <w:rPr>
          <w:rFonts w:ascii="Arial" w:hAnsi="Arial" w:cs="Arial"/>
          <w:color w:val="000000"/>
          <w:sz w:val="22"/>
          <w:szCs w:val="22"/>
          <w:lang w:eastAsia="en-US"/>
        </w:rPr>
        <w:t xml:space="preserve"> Figure 9 highlights that suspected suicide numbers in patients in their thirties was higher in Q1 2025/26, specifically in June (4 reported). All patients were male, in their mid to late thirties. There was no connection to a particular team. Three were under the West Kent Directorate.</w:t>
      </w:r>
    </w:p>
    <w:p w14:paraId="4BDC34BA" w14:textId="77777777" w:rsidR="002D466C" w:rsidRPr="00004B9C" w:rsidRDefault="002D466C" w:rsidP="002D466C">
      <w:pPr>
        <w:pStyle w:val="NormalWeb"/>
        <w:ind w:left="720"/>
        <w:rPr>
          <w:rFonts w:ascii="Arial" w:hAnsi="Arial" w:cs="Arial"/>
          <w:color w:val="000000"/>
          <w:sz w:val="22"/>
          <w:szCs w:val="22"/>
          <w:lang w:eastAsia="en-US"/>
        </w:rPr>
      </w:pPr>
    </w:p>
    <w:p w14:paraId="74B6BCA4" w14:textId="545C78D2" w:rsidR="002D466C" w:rsidRPr="00004B9C" w:rsidRDefault="002D466C" w:rsidP="002D466C">
      <w:pPr>
        <w:pStyle w:val="NormalWeb"/>
        <w:rPr>
          <w:rFonts w:ascii="Arial" w:hAnsi="Arial" w:cs="Arial"/>
          <w:color w:val="000000"/>
          <w:sz w:val="22"/>
          <w:szCs w:val="22"/>
          <w:lang w:eastAsia="en-US"/>
        </w:rPr>
      </w:pPr>
      <w:r w:rsidRPr="00004B9C">
        <w:rPr>
          <w:rFonts w:ascii="Arial" w:hAnsi="Arial" w:cs="Arial"/>
          <w:sz w:val="22"/>
          <w:szCs w:val="22"/>
        </w:rPr>
        <w:t>4.</w:t>
      </w:r>
      <w:r w:rsidR="00472E91">
        <w:rPr>
          <w:rFonts w:ascii="Arial" w:hAnsi="Arial" w:cs="Arial"/>
          <w:sz w:val="22"/>
          <w:szCs w:val="22"/>
        </w:rPr>
        <w:t>7</w:t>
      </w:r>
      <w:r w:rsidRPr="00004B9C">
        <w:rPr>
          <w:rFonts w:ascii="Arial" w:hAnsi="Arial" w:cs="Arial"/>
          <w:sz w:val="22"/>
          <w:szCs w:val="22"/>
        </w:rPr>
        <w:t xml:space="preserve"> The Trust </w:t>
      </w:r>
      <w:r w:rsidR="000828EE">
        <w:rPr>
          <w:rFonts w:ascii="Arial" w:hAnsi="Arial" w:cs="Arial"/>
          <w:sz w:val="22"/>
          <w:szCs w:val="22"/>
        </w:rPr>
        <w:t>is</w:t>
      </w:r>
      <w:r w:rsidRPr="00004B9C">
        <w:rPr>
          <w:rFonts w:ascii="Arial" w:hAnsi="Arial" w:cs="Arial"/>
          <w:sz w:val="22"/>
          <w:szCs w:val="22"/>
        </w:rPr>
        <w:t xml:space="preserve"> working with the Kent and Medway Suicide Prevention Programme team to promote the Baton of Hope tour which is coming to Kent and Medway on 22</w:t>
      </w:r>
      <w:r w:rsidRPr="00004B9C">
        <w:rPr>
          <w:rFonts w:ascii="Arial" w:hAnsi="Arial" w:cs="Arial"/>
          <w:sz w:val="22"/>
          <w:szCs w:val="22"/>
          <w:vertAlign w:val="superscript"/>
        </w:rPr>
        <w:t>nd</w:t>
      </w:r>
      <w:r w:rsidRPr="00004B9C">
        <w:rPr>
          <w:rFonts w:ascii="Arial" w:hAnsi="Arial" w:cs="Arial"/>
          <w:sz w:val="22"/>
          <w:szCs w:val="22"/>
        </w:rPr>
        <w:t xml:space="preserve"> September 2025. The Baton of Hope UK tour uses an Olympic style torch to promote awareness and offer inspiration, acknowledgment and support to those who have survived suicide and/or lost someone to suicide.</w:t>
      </w:r>
    </w:p>
    <w:p w14:paraId="159EAD09" w14:textId="77777777" w:rsidR="002D466C" w:rsidRPr="002D466C" w:rsidRDefault="002D466C" w:rsidP="002D466C">
      <w:pPr>
        <w:pStyle w:val="NormalWeb"/>
        <w:rPr>
          <w:rFonts w:ascii="Arial" w:hAnsi="Arial" w:cs="Arial"/>
          <w:color w:val="000000"/>
          <w:sz w:val="22"/>
          <w:szCs w:val="22"/>
          <w:lang w:eastAsia="en-US"/>
        </w:rPr>
      </w:pPr>
    </w:p>
    <w:p w14:paraId="4CD00C09" w14:textId="3BC67010" w:rsidR="002D466C" w:rsidRPr="00004B9C" w:rsidRDefault="002D466C" w:rsidP="002D466C">
      <w:pPr>
        <w:pStyle w:val="NormalWeb"/>
        <w:rPr>
          <w:rFonts w:ascii="Arial" w:hAnsi="Arial" w:cs="Arial"/>
          <w:sz w:val="22"/>
          <w:szCs w:val="22"/>
        </w:rPr>
      </w:pPr>
      <w:r w:rsidRPr="00004B9C">
        <w:rPr>
          <w:rFonts w:ascii="Arial" w:hAnsi="Arial" w:cs="Arial"/>
          <w:sz w:val="22"/>
          <w:szCs w:val="22"/>
        </w:rPr>
        <w:t>4.</w:t>
      </w:r>
      <w:r w:rsidR="00472E91">
        <w:rPr>
          <w:rFonts w:ascii="Arial" w:hAnsi="Arial" w:cs="Arial"/>
          <w:sz w:val="22"/>
          <w:szCs w:val="22"/>
        </w:rPr>
        <w:t>8</w:t>
      </w:r>
      <w:r w:rsidRPr="00004B9C">
        <w:rPr>
          <w:rFonts w:ascii="Arial" w:hAnsi="Arial" w:cs="Arial"/>
          <w:sz w:val="22"/>
          <w:szCs w:val="22"/>
        </w:rPr>
        <w:t xml:space="preserve"> The </w:t>
      </w:r>
      <w:r w:rsidR="000828EE">
        <w:rPr>
          <w:rFonts w:ascii="Arial" w:hAnsi="Arial" w:cs="Arial"/>
          <w:sz w:val="22"/>
          <w:szCs w:val="22"/>
        </w:rPr>
        <w:t>T</w:t>
      </w:r>
      <w:r w:rsidRPr="00004B9C">
        <w:rPr>
          <w:rFonts w:ascii="Arial" w:hAnsi="Arial" w:cs="Arial"/>
          <w:sz w:val="22"/>
          <w:szCs w:val="22"/>
        </w:rPr>
        <w:t xml:space="preserve">rust </w:t>
      </w:r>
      <w:r w:rsidR="000828EE">
        <w:rPr>
          <w:rFonts w:ascii="Arial" w:hAnsi="Arial" w:cs="Arial"/>
          <w:sz w:val="22"/>
          <w:szCs w:val="22"/>
        </w:rPr>
        <w:t>continues</w:t>
      </w:r>
      <w:r w:rsidRPr="00004B9C">
        <w:rPr>
          <w:rFonts w:ascii="Arial" w:hAnsi="Arial" w:cs="Arial"/>
          <w:sz w:val="22"/>
          <w:szCs w:val="22"/>
        </w:rPr>
        <w:t xml:space="preserve"> to map workstreams against the 10 ways to improve safety toolkit. The Trust Leadership Team have been sighted on this work.</w:t>
      </w:r>
    </w:p>
    <w:p w14:paraId="2DE51671" w14:textId="77777777" w:rsidR="002D466C" w:rsidRPr="002D466C" w:rsidRDefault="002D466C" w:rsidP="002D466C">
      <w:pPr>
        <w:pStyle w:val="NormalWeb"/>
        <w:rPr>
          <w:rFonts w:ascii="Arial" w:hAnsi="Arial" w:cs="Arial"/>
          <w:color w:val="000000"/>
          <w:sz w:val="22"/>
          <w:szCs w:val="22"/>
          <w:lang w:eastAsia="en-US"/>
        </w:rPr>
      </w:pPr>
    </w:p>
    <w:p w14:paraId="646AA3F0" w14:textId="4DF295B5" w:rsidR="002D466C" w:rsidRPr="002D466C" w:rsidRDefault="002D466C" w:rsidP="002D466C">
      <w:pPr>
        <w:pStyle w:val="NoSpacing"/>
        <w:rPr>
          <w:rFonts w:ascii="Arial" w:hAnsi="Arial" w:cs="Arial"/>
        </w:rPr>
      </w:pPr>
      <w:r w:rsidRPr="002D466C">
        <w:rPr>
          <w:rFonts w:ascii="Arial" w:hAnsi="Arial" w:cs="Arial"/>
        </w:rPr>
        <w:t>4.</w:t>
      </w:r>
      <w:r w:rsidR="00472E91">
        <w:rPr>
          <w:rFonts w:ascii="Arial" w:hAnsi="Arial" w:cs="Arial"/>
        </w:rPr>
        <w:t>8</w:t>
      </w:r>
      <w:r w:rsidRPr="002D466C">
        <w:rPr>
          <w:rFonts w:ascii="Arial" w:hAnsi="Arial" w:cs="Arial"/>
        </w:rPr>
        <w:t xml:space="preserve"> The </w:t>
      </w:r>
      <w:r>
        <w:rPr>
          <w:rFonts w:ascii="Arial" w:hAnsi="Arial" w:cs="Arial"/>
        </w:rPr>
        <w:t>T</w:t>
      </w:r>
      <w:r w:rsidRPr="002D466C">
        <w:rPr>
          <w:rFonts w:ascii="Arial" w:hAnsi="Arial" w:cs="Arial"/>
        </w:rPr>
        <w:t>rust continues to work in partnership with the suicide prevention programme team, Public Health and the ICB in the prevention of suicide. Initiatives were shared at the Kent and Medway Suicide and Self-harm Prevention Network meeting in June. These include:</w:t>
      </w:r>
    </w:p>
    <w:p w14:paraId="333C3B3E" w14:textId="77777777" w:rsidR="002D466C" w:rsidRDefault="002D466C" w:rsidP="002D466C">
      <w:pPr>
        <w:pStyle w:val="NoSpacing"/>
      </w:pPr>
    </w:p>
    <w:p w14:paraId="6A2012E4" w14:textId="77777777" w:rsidR="002D466C" w:rsidRPr="008E333C" w:rsidRDefault="002D466C" w:rsidP="002D466C">
      <w:pPr>
        <w:pStyle w:val="ListParagraph"/>
        <w:numPr>
          <w:ilvl w:val="0"/>
          <w:numId w:val="36"/>
        </w:numPr>
        <w:jc w:val="both"/>
        <w:rPr>
          <w:rFonts w:ascii="Arial" w:hAnsi="Arial" w:cs="Arial"/>
        </w:rPr>
      </w:pPr>
      <w:r w:rsidRPr="008E333C">
        <w:rPr>
          <w:rFonts w:ascii="Arial" w:hAnsi="Arial" w:cs="Arial"/>
        </w:rPr>
        <w:t>Thanet District Council Suicide Prevention Strategy</w:t>
      </w:r>
    </w:p>
    <w:p w14:paraId="6B819376" w14:textId="77777777" w:rsidR="002D466C" w:rsidRPr="008E333C" w:rsidRDefault="002D466C" w:rsidP="002D466C">
      <w:pPr>
        <w:pStyle w:val="ListParagraph"/>
        <w:numPr>
          <w:ilvl w:val="0"/>
          <w:numId w:val="36"/>
        </w:numPr>
        <w:jc w:val="both"/>
        <w:rPr>
          <w:rFonts w:ascii="Arial" w:hAnsi="Arial" w:cs="Arial"/>
        </w:rPr>
      </w:pPr>
      <w:r w:rsidRPr="008E333C">
        <w:rPr>
          <w:rFonts w:ascii="Arial" w:hAnsi="Arial" w:cs="Arial"/>
        </w:rPr>
        <w:t>Introduction to the coastal navigators network</w:t>
      </w:r>
    </w:p>
    <w:p w14:paraId="6502FF84" w14:textId="77777777" w:rsidR="002D466C" w:rsidRPr="008E333C" w:rsidRDefault="002D466C" w:rsidP="002D466C">
      <w:pPr>
        <w:pStyle w:val="ListParagraph"/>
        <w:numPr>
          <w:ilvl w:val="0"/>
          <w:numId w:val="36"/>
        </w:numPr>
        <w:jc w:val="both"/>
        <w:rPr>
          <w:rFonts w:ascii="Arial" w:hAnsi="Arial" w:cs="Arial"/>
        </w:rPr>
      </w:pPr>
      <w:r w:rsidRPr="008E333C">
        <w:rPr>
          <w:rFonts w:ascii="Arial" w:hAnsi="Arial" w:cs="Arial"/>
          <w:color w:val="000000"/>
        </w:rPr>
        <w:t>Financial hardship programme (KCC) Parish Council support scheme.</w:t>
      </w:r>
    </w:p>
    <w:p w14:paraId="3F11494A" w14:textId="77777777" w:rsidR="002D466C" w:rsidRPr="008E333C" w:rsidRDefault="002D466C" w:rsidP="002D466C">
      <w:pPr>
        <w:pStyle w:val="ListParagraph"/>
        <w:numPr>
          <w:ilvl w:val="0"/>
          <w:numId w:val="36"/>
        </w:numPr>
        <w:jc w:val="both"/>
        <w:rPr>
          <w:rFonts w:ascii="Arial" w:hAnsi="Arial" w:cs="Arial"/>
        </w:rPr>
      </w:pPr>
      <w:r w:rsidRPr="008E333C">
        <w:rPr>
          <w:rFonts w:ascii="Arial" w:hAnsi="Arial" w:cs="Arial"/>
          <w:noProof/>
          <w:color w:val="000000"/>
        </w:rPr>
        <w:t>Southeastern joint suicide prevention strategy 2025-2028.</w:t>
      </w:r>
    </w:p>
    <w:p w14:paraId="106E9F31" w14:textId="4B28AADA" w:rsidR="002D466C" w:rsidRDefault="002D466C" w:rsidP="002D466C">
      <w:pPr>
        <w:pStyle w:val="ListNumber2"/>
        <w:numPr>
          <w:ilvl w:val="0"/>
          <w:numId w:val="0"/>
        </w:numPr>
        <w:rPr>
          <w:rFonts w:ascii="Arial" w:hAnsi="Arial" w:cs="Arial"/>
        </w:rPr>
      </w:pPr>
      <w:r>
        <w:rPr>
          <w:rFonts w:ascii="Arial" w:hAnsi="Arial" w:cs="Arial"/>
        </w:rPr>
        <w:t>These initiatives will form useful contributions to partnership working and the overarching suicide prevention approach.</w:t>
      </w:r>
    </w:p>
    <w:p w14:paraId="722F514C" w14:textId="1C4EC43A" w:rsidR="00CD0B33" w:rsidRDefault="00CD0B33" w:rsidP="002D466C">
      <w:pPr>
        <w:pStyle w:val="ListNumber2"/>
        <w:numPr>
          <w:ilvl w:val="0"/>
          <w:numId w:val="0"/>
        </w:numPr>
        <w:rPr>
          <w:rFonts w:ascii="Arial" w:hAnsi="Arial" w:cs="Arial"/>
        </w:rPr>
      </w:pPr>
    </w:p>
    <w:p w14:paraId="14CAA30A" w14:textId="5CE3E42B" w:rsidR="00CD0B33" w:rsidRPr="002D466C" w:rsidRDefault="000828EE" w:rsidP="002D466C">
      <w:pPr>
        <w:pStyle w:val="ListNumber2"/>
        <w:numPr>
          <w:ilvl w:val="0"/>
          <w:numId w:val="0"/>
        </w:numPr>
        <w:rPr>
          <w:rFonts w:ascii="Arial" w:hAnsi="Arial" w:cs="Arial"/>
        </w:rPr>
      </w:pPr>
      <w:r>
        <w:rPr>
          <w:rFonts w:ascii="Arial" w:hAnsi="Arial" w:cs="Arial"/>
        </w:rPr>
        <w:t xml:space="preserve">4.9 </w:t>
      </w:r>
      <w:r w:rsidR="00CD0B33">
        <w:rPr>
          <w:rFonts w:ascii="Arial" w:hAnsi="Arial" w:cs="Arial"/>
        </w:rPr>
        <w:t xml:space="preserve">The Trust are continuing to engage in research studies into suicide, with the National Confidential Inquiry into Suicide and Safety in Mental Health (NCISH), and </w:t>
      </w:r>
      <w:r w:rsidR="00480E5D">
        <w:rPr>
          <w:rFonts w:ascii="Arial" w:hAnsi="Arial" w:cs="Arial"/>
        </w:rPr>
        <w:t xml:space="preserve">are </w:t>
      </w:r>
      <w:r w:rsidR="00CD0B33">
        <w:rPr>
          <w:rFonts w:ascii="Arial" w:hAnsi="Arial" w:cs="Arial"/>
        </w:rPr>
        <w:t>about to support a new study into staff impact on patient suicide. Results once published will be shared via mortality and suicide reports.</w:t>
      </w:r>
    </w:p>
    <w:p w14:paraId="3FDD1403" w14:textId="77777777" w:rsidR="000829AC" w:rsidRDefault="000829AC" w:rsidP="00E03CBA">
      <w:pPr>
        <w:pStyle w:val="NormalWeb"/>
        <w:tabs>
          <w:tab w:val="left" w:pos="567"/>
        </w:tabs>
        <w:rPr>
          <w:rFonts w:ascii="Arial" w:hAnsi="Arial" w:cs="Arial"/>
          <w:b/>
          <w:color w:val="000000"/>
          <w:sz w:val="22"/>
          <w:szCs w:val="22"/>
        </w:rPr>
      </w:pPr>
    </w:p>
    <w:p w14:paraId="44D68115" w14:textId="34E57C82" w:rsidR="00E84B16" w:rsidRPr="00C256FC" w:rsidRDefault="00A32242" w:rsidP="00E03CBA">
      <w:pPr>
        <w:pStyle w:val="NormalWeb"/>
        <w:tabs>
          <w:tab w:val="left" w:pos="567"/>
        </w:tabs>
        <w:rPr>
          <w:rFonts w:ascii="Arial" w:hAnsi="Arial" w:cs="Arial"/>
          <w:b/>
          <w:color w:val="000000"/>
          <w:sz w:val="22"/>
          <w:szCs w:val="22"/>
        </w:rPr>
      </w:pPr>
      <w:r w:rsidRPr="00C256FC">
        <w:rPr>
          <w:rFonts w:ascii="Arial" w:hAnsi="Arial" w:cs="Arial"/>
          <w:b/>
          <w:color w:val="000000"/>
          <w:sz w:val="22"/>
          <w:szCs w:val="22"/>
        </w:rPr>
        <w:t>5</w:t>
      </w:r>
      <w:r w:rsidR="00ED3518">
        <w:rPr>
          <w:rFonts w:ascii="Arial" w:hAnsi="Arial" w:cs="Arial"/>
          <w:b/>
          <w:color w:val="000000"/>
          <w:sz w:val="22"/>
          <w:szCs w:val="22"/>
        </w:rPr>
        <w:t xml:space="preserve"> </w:t>
      </w:r>
      <w:r w:rsidR="00E84B16" w:rsidRPr="00C256FC">
        <w:rPr>
          <w:rFonts w:ascii="Arial" w:hAnsi="Arial" w:cs="Arial"/>
          <w:b/>
          <w:color w:val="000000"/>
          <w:sz w:val="22"/>
          <w:szCs w:val="22"/>
        </w:rPr>
        <w:t>STRUCTURED JUDGEMENT REVIEW</w:t>
      </w:r>
    </w:p>
    <w:p w14:paraId="271262D9" w14:textId="7BA7576B" w:rsidR="001E496A" w:rsidRDefault="001E496A" w:rsidP="006A2724">
      <w:pPr>
        <w:pStyle w:val="NormalWeb"/>
        <w:rPr>
          <w:rFonts w:ascii="Arial" w:hAnsi="Arial" w:cs="Arial"/>
        </w:rPr>
      </w:pPr>
    </w:p>
    <w:p w14:paraId="5DBE614F" w14:textId="6638ED1E" w:rsidR="00F36803" w:rsidRDefault="002D466C" w:rsidP="006A2724">
      <w:pPr>
        <w:pStyle w:val="ListNumber2"/>
        <w:numPr>
          <w:ilvl w:val="0"/>
          <w:numId w:val="0"/>
        </w:numPr>
        <w:rPr>
          <w:rFonts w:ascii="Arial" w:hAnsi="Arial" w:cs="Arial"/>
        </w:rPr>
      </w:pPr>
      <w:r>
        <w:rPr>
          <w:rFonts w:ascii="Arial" w:hAnsi="Arial" w:cs="Arial"/>
        </w:rPr>
        <w:t xml:space="preserve">5.1 </w:t>
      </w:r>
      <w:r w:rsidRPr="002D466C">
        <w:rPr>
          <w:rFonts w:ascii="Arial" w:hAnsi="Arial" w:cs="Arial"/>
          <w:b/>
        </w:rPr>
        <w:t xml:space="preserve">17 </w:t>
      </w:r>
      <w:r>
        <w:rPr>
          <w:rFonts w:ascii="Arial" w:hAnsi="Arial" w:cs="Arial"/>
        </w:rPr>
        <w:t>Structured Judgement Reviews were completed in Q1 2025/26.</w:t>
      </w:r>
    </w:p>
    <w:p w14:paraId="6773E088" w14:textId="77777777" w:rsidR="002D466C" w:rsidRDefault="002D466C" w:rsidP="006A2724">
      <w:pPr>
        <w:pStyle w:val="ListNumber2"/>
        <w:numPr>
          <w:ilvl w:val="0"/>
          <w:numId w:val="0"/>
        </w:numPr>
        <w:rPr>
          <w:rFonts w:ascii="Arial" w:hAnsi="Arial" w:cs="Arial"/>
        </w:rPr>
      </w:pPr>
    </w:p>
    <w:p w14:paraId="0565FF0D" w14:textId="77777777" w:rsidR="008B7E58" w:rsidRDefault="008B7E58" w:rsidP="006A2724">
      <w:pPr>
        <w:pStyle w:val="ListNumber2"/>
        <w:numPr>
          <w:ilvl w:val="0"/>
          <w:numId w:val="0"/>
        </w:numPr>
        <w:rPr>
          <w:rFonts w:ascii="Arial" w:hAnsi="Arial" w:cs="Arial"/>
          <w:b/>
        </w:rPr>
      </w:pPr>
    </w:p>
    <w:p w14:paraId="249B5572" w14:textId="78AFA551" w:rsidR="00F36803" w:rsidRPr="00F36803" w:rsidRDefault="00F36803" w:rsidP="006A2724">
      <w:pPr>
        <w:pStyle w:val="ListNumber2"/>
        <w:numPr>
          <w:ilvl w:val="0"/>
          <w:numId w:val="0"/>
        </w:numPr>
        <w:rPr>
          <w:rFonts w:ascii="Arial" w:hAnsi="Arial" w:cs="Arial"/>
          <w:b/>
        </w:rPr>
      </w:pPr>
      <w:r w:rsidRPr="00F36803">
        <w:rPr>
          <w:rFonts w:ascii="Arial" w:hAnsi="Arial" w:cs="Arial"/>
          <w:b/>
        </w:rPr>
        <w:lastRenderedPageBreak/>
        <w:t>Figure 12: ratings of care</w:t>
      </w:r>
    </w:p>
    <w:tbl>
      <w:tblPr>
        <w:tblStyle w:val="TableGrid"/>
        <w:tblW w:w="9493" w:type="dxa"/>
        <w:tblLook w:val="04A0" w:firstRow="1" w:lastRow="0" w:firstColumn="1" w:lastColumn="0" w:noHBand="0" w:noVBand="1"/>
      </w:tblPr>
      <w:tblGrid>
        <w:gridCol w:w="2547"/>
        <w:gridCol w:w="6946"/>
      </w:tblGrid>
      <w:tr w:rsidR="00CD066E" w14:paraId="6B303FA9" w14:textId="77777777" w:rsidTr="00CD0B33">
        <w:trPr>
          <w:trHeight w:val="1533"/>
        </w:trPr>
        <w:tc>
          <w:tcPr>
            <w:tcW w:w="2547" w:type="dxa"/>
            <w:shd w:val="clear" w:color="auto" w:fill="C6D9F1" w:themeFill="text2" w:themeFillTint="33"/>
          </w:tcPr>
          <w:p w14:paraId="1353DCCA" w14:textId="01CF1933" w:rsidR="00DB7402" w:rsidRDefault="00DB7402" w:rsidP="006A2724">
            <w:pPr>
              <w:pStyle w:val="ListNumber2"/>
              <w:numPr>
                <w:ilvl w:val="0"/>
                <w:numId w:val="0"/>
              </w:numPr>
              <w:rPr>
                <w:rFonts w:ascii="Arial" w:hAnsi="Arial" w:cs="Arial"/>
              </w:rPr>
            </w:pPr>
            <w:r>
              <w:rPr>
                <w:rFonts w:ascii="Arial" w:hAnsi="Arial" w:cs="Arial"/>
              </w:rPr>
              <w:t>Allocation and initial assessment or review (entry into services)</w:t>
            </w:r>
          </w:p>
        </w:tc>
        <w:tc>
          <w:tcPr>
            <w:tcW w:w="6946" w:type="dxa"/>
          </w:tcPr>
          <w:p w14:paraId="3F3B3839" w14:textId="4E52641F" w:rsidR="00A3451D" w:rsidRPr="00A156CA" w:rsidRDefault="005F5CB4" w:rsidP="00A156CA">
            <w:pPr>
              <w:pStyle w:val="ListNumber2"/>
              <w:numPr>
                <w:ilvl w:val="0"/>
                <w:numId w:val="30"/>
              </w:numPr>
              <w:jc w:val="center"/>
              <w:rPr>
                <w:rFonts w:ascii="Arial" w:hAnsi="Arial" w:cs="Arial"/>
                <w:b/>
              </w:rPr>
            </w:pPr>
            <w:r w:rsidRPr="00A156CA">
              <w:rPr>
                <w:rFonts w:ascii="Arial" w:hAnsi="Arial" w:cs="Arial"/>
                <w:b/>
              </w:rPr>
              <w:t>in total</w:t>
            </w:r>
          </w:p>
          <w:p w14:paraId="4B8AE6EA" w14:textId="475BA6E1" w:rsidR="005F5CB4" w:rsidRDefault="005F5CB4" w:rsidP="005F5CB4">
            <w:pPr>
              <w:pStyle w:val="ListNumber2"/>
              <w:numPr>
                <w:ilvl w:val="0"/>
                <w:numId w:val="29"/>
              </w:numPr>
              <w:rPr>
                <w:rFonts w:ascii="Arial" w:hAnsi="Arial" w:cs="Arial"/>
              </w:rPr>
            </w:pPr>
            <w:r>
              <w:rPr>
                <w:rFonts w:ascii="Arial" w:hAnsi="Arial" w:cs="Arial"/>
              </w:rPr>
              <w:t>Potential Patient Safety Event: 0%</w:t>
            </w:r>
          </w:p>
          <w:p w14:paraId="1F1A75BD" w14:textId="089FCE34" w:rsidR="005F5CB4" w:rsidRDefault="005F5CB4" w:rsidP="005F5CB4">
            <w:pPr>
              <w:pStyle w:val="ListNumber2"/>
              <w:numPr>
                <w:ilvl w:val="0"/>
                <w:numId w:val="29"/>
              </w:numPr>
              <w:rPr>
                <w:rFonts w:ascii="Arial" w:hAnsi="Arial" w:cs="Arial"/>
              </w:rPr>
            </w:pPr>
            <w:r>
              <w:rPr>
                <w:rFonts w:ascii="Arial" w:hAnsi="Arial" w:cs="Arial"/>
              </w:rPr>
              <w:t>A Learning Opportunity: 8%</w:t>
            </w:r>
          </w:p>
          <w:p w14:paraId="30F4EBEF" w14:textId="6CBD9EE1" w:rsidR="005F5CB4" w:rsidRDefault="005F5CB4" w:rsidP="005F5CB4">
            <w:pPr>
              <w:pStyle w:val="ListNumber2"/>
              <w:numPr>
                <w:ilvl w:val="0"/>
                <w:numId w:val="29"/>
              </w:numPr>
              <w:rPr>
                <w:rFonts w:ascii="Arial" w:hAnsi="Arial" w:cs="Arial"/>
              </w:rPr>
            </w:pPr>
            <w:r>
              <w:rPr>
                <w:rFonts w:ascii="Arial" w:hAnsi="Arial" w:cs="Arial"/>
              </w:rPr>
              <w:t>Expected Practice/ Process: 23%</w:t>
            </w:r>
          </w:p>
          <w:p w14:paraId="67AC544B" w14:textId="7B6C74A3" w:rsidR="005F5CB4" w:rsidRDefault="005F5CB4" w:rsidP="005F5CB4">
            <w:pPr>
              <w:pStyle w:val="ListNumber2"/>
              <w:numPr>
                <w:ilvl w:val="0"/>
                <w:numId w:val="29"/>
              </w:numPr>
              <w:rPr>
                <w:rFonts w:ascii="Arial" w:hAnsi="Arial" w:cs="Arial"/>
              </w:rPr>
            </w:pPr>
            <w:r>
              <w:rPr>
                <w:rFonts w:ascii="Arial" w:hAnsi="Arial" w:cs="Arial"/>
              </w:rPr>
              <w:t>Good care: 54%</w:t>
            </w:r>
          </w:p>
          <w:p w14:paraId="1349F545" w14:textId="041CBC05" w:rsidR="005F5CB4" w:rsidRDefault="005F5CB4" w:rsidP="005F5CB4">
            <w:pPr>
              <w:pStyle w:val="ListNumber2"/>
              <w:numPr>
                <w:ilvl w:val="0"/>
                <w:numId w:val="29"/>
              </w:numPr>
              <w:rPr>
                <w:rFonts w:ascii="Arial" w:hAnsi="Arial" w:cs="Arial"/>
              </w:rPr>
            </w:pPr>
            <w:r>
              <w:rPr>
                <w:rFonts w:ascii="Arial" w:hAnsi="Arial" w:cs="Arial"/>
              </w:rPr>
              <w:t>Exemplary Practice/ Process: 15%</w:t>
            </w:r>
          </w:p>
        </w:tc>
      </w:tr>
      <w:tr w:rsidR="00CD066E" w14:paraId="074FED9A" w14:textId="77777777" w:rsidTr="00CD0B33">
        <w:tc>
          <w:tcPr>
            <w:tcW w:w="2547" w:type="dxa"/>
            <w:shd w:val="clear" w:color="auto" w:fill="C6D9F1" w:themeFill="text2" w:themeFillTint="33"/>
          </w:tcPr>
          <w:p w14:paraId="3507304E" w14:textId="1AEDFBED" w:rsidR="00DB7402" w:rsidRDefault="00DB7402" w:rsidP="006A2724">
            <w:pPr>
              <w:pStyle w:val="ListNumber2"/>
              <w:numPr>
                <w:ilvl w:val="0"/>
                <w:numId w:val="0"/>
              </w:numPr>
              <w:rPr>
                <w:rFonts w:ascii="Arial" w:hAnsi="Arial" w:cs="Arial"/>
              </w:rPr>
            </w:pPr>
            <w:r>
              <w:rPr>
                <w:rFonts w:ascii="Arial" w:hAnsi="Arial" w:cs="Arial"/>
              </w:rPr>
              <w:t>Ongoing care</w:t>
            </w:r>
          </w:p>
        </w:tc>
        <w:tc>
          <w:tcPr>
            <w:tcW w:w="6946" w:type="dxa"/>
          </w:tcPr>
          <w:p w14:paraId="1680FF66" w14:textId="190088C5" w:rsidR="005F5CB4" w:rsidRPr="00A156CA" w:rsidRDefault="005F5CB4" w:rsidP="00A156CA">
            <w:pPr>
              <w:pStyle w:val="ListNumber2"/>
              <w:numPr>
                <w:ilvl w:val="0"/>
                <w:numId w:val="0"/>
              </w:numPr>
              <w:ind w:left="643" w:hanging="360"/>
              <w:jc w:val="center"/>
              <w:rPr>
                <w:rFonts w:ascii="Arial" w:hAnsi="Arial" w:cs="Arial"/>
                <w:b/>
              </w:rPr>
            </w:pPr>
            <w:r w:rsidRPr="00A156CA">
              <w:rPr>
                <w:rFonts w:ascii="Arial" w:hAnsi="Arial" w:cs="Arial"/>
                <w:b/>
              </w:rPr>
              <w:t>17 in total</w:t>
            </w:r>
          </w:p>
          <w:p w14:paraId="65815430" w14:textId="4393C1DC" w:rsidR="005F5CB4" w:rsidRDefault="005F5CB4" w:rsidP="005F5CB4">
            <w:pPr>
              <w:pStyle w:val="ListNumber2"/>
              <w:numPr>
                <w:ilvl w:val="0"/>
                <w:numId w:val="31"/>
              </w:numPr>
              <w:rPr>
                <w:rFonts w:ascii="Arial" w:hAnsi="Arial" w:cs="Arial"/>
              </w:rPr>
            </w:pPr>
            <w:r>
              <w:rPr>
                <w:rFonts w:ascii="Arial" w:hAnsi="Arial" w:cs="Arial"/>
              </w:rPr>
              <w:t>Potential Patient Safety Event: 0%</w:t>
            </w:r>
          </w:p>
          <w:p w14:paraId="2D87A1DC" w14:textId="27A70246" w:rsidR="005F5CB4" w:rsidRDefault="005F5CB4" w:rsidP="005F5CB4">
            <w:pPr>
              <w:pStyle w:val="ListNumber2"/>
              <w:numPr>
                <w:ilvl w:val="0"/>
                <w:numId w:val="31"/>
              </w:numPr>
              <w:rPr>
                <w:rFonts w:ascii="Arial" w:hAnsi="Arial" w:cs="Arial"/>
              </w:rPr>
            </w:pPr>
            <w:r>
              <w:rPr>
                <w:rFonts w:ascii="Arial" w:hAnsi="Arial" w:cs="Arial"/>
              </w:rPr>
              <w:t>A Learning Opportunity: 6%</w:t>
            </w:r>
          </w:p>
          <w:p w14:paraId="47594864" w14:textId="2693A3F3" w:rsidR="005F5CB4" w:rsidRDefault="005F5CB4" w:rsidP="005F5CB4">
            <w:pPr>
              <w:pStyle w:val="ListNumber2"/>
              <w:numPr>
                <w:ilvl w:val="0"/>
                <w:numId w:val="31"/>
              </w:numPr>
              <w:rPr>
                <w:rFonts w:ascii="Arial" w:hAnsi="Arial" w:cs="Arial"/>
              </w:rPr>
            </w:pPr>
            <w:r>
              <w:rPr>
                <w:rFonts w:ascii="Arial" w:hAnsi="Arial" w:cs="Arial"/>
              </w:rPr>
              <w:t>Expected Practice/ Process: 29%</w:t>
            </w:r>
          </w:p>
          <w:p w14:paraId="46B8C045" w14:textId="3CFA996D" w:rsidR="005F5CB4" w:rsidRDefault="005F5CB4" w:rsidP="005F5CB4">
            <w:pPr>
              <w:pStyle w:val="ListNumber2"/>
              <w:numPr>
                <w:ilvl w:val="0"/>
                <w:numId w:val="31"/>
              </w:numPr>
              <w:rPr>
                <w:rFonts w:ascii="Arial" w:hAnsi="Arial" w:cs="Arial"/>
              </w:rPr>
            </w:pPr>
            <w:r>
              <w:rPr>
                <w:rFonts w:ascii="Arial" w:hAnsi="Arial" w:cs="Arial"/>
              </w:rPr>
              <w:t>Good care: 59%</w:t>
            </w:r>
          </w:p>
          <w:p w14:paraId="6FD4E831" w14:textId="4207E2C7" w:rsidR="00A3451D" w:rsidRPr="005F5CB4" w:rsidRDefault="005F5CB4" w:rsidP="005F5CB4">
            <w:pPr>
              <w:pStyle w:val="ListNumber2"/>
              <w:numPr>
                <w:ilvl w:val="0"/>
                <w:numId w:val="31"/>
              </w:numPr>
              <w:rPr>
                <w:rFonts w:ascii="Arial" w:hAnsi="Arial" w:cs="Arial"/>
              </w:rPr>
            </w:pPr>
            <w:r w:rsidRPr="005F5CB4">
              <w:rPr>
                <w:rFonts w:ascii="Arial" w:hAnsi="Arial" w:cs="Arial"/>
              </w:rPr>
              <w:t xml:space="preserve">Exemplary Practice/ Process: </w:t>
            </w:r>
            <w:r>
              <w:rPr>
                <w:rFonts w:ascii="Arial" w:hAnsi="Arial" w:cs="Arial"/>
              </w:rPr>
              <w:t>6%</w:t>
            </w:r>
          </w:p>
        </w:tc>
      </w:tr>
      <w:tr w:rsidR="00A3451D" w14:paraId="4DBF7739" w14:textId="77777777" w:rsidTr="00CD0B33">
        <w:tc>
          <w:tcPr>
            <w:tcW w:w="2547" w:type="dxa"/>
            <w:shd w:val="clear" w:color="auto" w:fill="C6D9F1" w:themeFill="text2" w:themeFillTint="33"/>
          </w:tcPr>
          <w:p w14:paraId="792B7FC6" w14:textId="6C4D7B43" w:rsidR="00DB7402" w:rsidRDefault="00DB7402" w:rsidP="006A2724">
            <w:pPr>
              <w:pStyle w:val="ListNumber2"/>
              <w:numPr>
                <w:ilvl w:val="0"/>
                <w:numId w:val="0"/>
              </w:numPr>
              <w:rPr>
                <w:rFonts w:ascii="Arial" w:hAnsi="Arial" w:cs="Arial"/>
              </w:rPr>
            </w:pPr>
            <w:r>
              <w:rPr>
                <w:rFonts w:ascii="Arial" w:hAnsi="Arial" w:cs="Arial"/>
              </w:rPr>
              <w:t>Psychiatric inpatient care</w:t>
            </w:r>
          </w:p>
        </w:tc>
        <w:tc>
          <w:tcPr>
            <w:tcW w:w="6946" w:type="dxa"/>
          </w:tcPr>
          <w:p w14:paraId="0D179BA0" w14:textId="4BD8385D" w:rsidR="00A3451D" w:rsidRPr="00A156CA" w:rsidRDefault="005F5CB4" w:rsidP="00A156CA">
            <w:pPr>
              <w:pStyle w:val="ListNumber2"/>
              <w:numPr>
                <w:ilvl w:val="0"/>
                <w:numId w:val="0"/>
              </w:numPr>
              <w:jc w:val="center"/>
              <w:rPr>
                <w:rFonts w:ascii="Arial" w:hAnsi="Arial" w:cs="Arial"/>
                <w:b/>
              </w:rPr>
            </w:pPr>
            <w:r w:rsidRPr="00A156CA">
              <w:rPr>
                <w:rFonts w:ascii="Arial" w:hAnsi="Arial" w:cs="Arial"/>
                <w:b/>
              </w:rPr>
              <w:t>2 in total</w:t>
            </w:r>
          </w:p>
          <w:p w14:paraId="7CB88E91" w14:textId="77777777" w:rsidR="005F5CB4" w:rsidRDefault="005F5CB4" w:rsidP="005F5CB4">
            <w:pPr>
              <w:pStyle w:val="ListNumber2"/>
              <w:numPr>
                <w:ilvl w:val="0"/>
                <w:numId w:val="32"/>
              </w:numPr>
              <w:rPr>
                <w:rFonts w:ascii="Arial" w:hAnsi="Arial" w:cs="Arial"/>
              </w:rPr>
            </w:pPr>
            <w:r>
              <w:rPr>
                <w:rFonts w:ascii="Arial" w:hAnsi="Arial" w:cs="Arial"/>
              </w:rPr>
              <w:t>Potential Patient Safety Event: 0%</w:t>
            </w:r>
          </w:p>
          <w:p w14:paraId="4F425B4B" w14:textId="6C511423" w:rsidR="005F5CB4" w:rsidRDefault="005F5CB4" w:rsidP="005F5CB4">
            <w:pPr>
              <w:pStyle w:val="ListNumber2"/>
              <w:numPr>
                <w:ilvl w:val="0"/>
                <w:numId w:val="32"/>
              </w:numPr>
              <w:rPr>
                <w:rFonts w:ascii="Arial" w:hAnsi="Arial" w:cs="Arial"/>
              </w:rPr>
            </w:pPr>
            <w:r>
              <w:rPr>
                <w:rFonts w:ascii="Arial" w:hAnsi="Arial" w:cs="Arial"/>
              </w:rPr>
              <w:t>A Learning Opportunity: 0%</w:t>
            </w:r>
          </w:p>
          <w:p w14:paraId="3FB52796" w14:textId="707F9851" w:rsidR="005F5CB4" w:rsidRDefault="005F5CB4" w:rsidP="005F5CB4">
            <w:pPr>
              <w:pStyle w:val="ListNumber2"/>
              <w:numPr>
                <w:ilvl w:val="0"/>
                <w:numId w:val="32"/>
              </w:numPr>
              <w:rPr>
                <w:rFonts w:ascii="Arial" w:hAnsi="Arial" w:cs="Arial"/>
              </w:rPr>
            </w:pPr>
            <w:r>
              <w:rPr>
                <w:rFonts w:ascii="Arial" w:hAnsi="Arial" w:cs="Arial"/>
              </w:rPr>
              <w:t>Expected Practice/ Process: 0%</w:t>
            </w:r>
          </w:p>
          <w:p w14:paraId="4FD6BF79" w14:textId="7AB3A536" w:rsidR="005F5CB4" w:rsidRDefault="005F5CB4" w:rsidP="005F5CB4">
            <w:pPr>
              <w:pStyle w:val="ListNumber2"/>
              <w:numPr>
                <w:ilvl w:val="0"/>
                <w:numId w:val="32"/>
              </w:numPr>
              <w:rPr>
                <w:rFonts w:ascii="Arial" w:hAnsi="Arial" w:cs="Arial"/>
              </w:rPr>
            </w:pPr>
            <w:r>
              <w:rPr>
                <w:rFonts w:ascii="Arial" w:hAnsi="Arial" w:cs="Arial"/>
              </w:rPr>
              <w:t>Good care: 50%</w:t>
            </w:r>
          </w:p>
          <w:p w14:paraId="14D1C000" w14:textId="4360B770" w:rsidR="005F5CB4" w:rsidRPr="005F5CB4" w:rsidRDefault="005F5CB4" w:rsidP="005F5CB4">
            <w:pPr>
              <w:pStyle w:val="ListNumber2"/>
              <w:numPr>
                <w:ilvl w:val="0"/>
                <w:numId w:val="32"/>
              </w:numPr>
              <w:rPr>
                <w:rFonts w:ascii="Arial" w:hAnsi="Arial" w:cs="Arial"/>
              </w:rPr>
            </w:pPr>
            <w:r w:rsidRPr="005F5CB4">
              <w:rPr>
                <w:rFonts w:ascii="Arial" w:hAnsi="Arial" w:cs="Arial"/>
              </w:rPr>
              <w:t xml:space="preserve">Exemplary Practice/ Process: </w:t>
            </w:r>
            <w:r>
              <w:rPr>
                <w:rFonts w:ascii="Arial" w:hAnsi="Arial" w:cs="Arial"/>
              </w:rPr>
              <w:t>50</w:t>
            </w:r>
            <w:r w:rsidRPr="005F5CB4">
              <w:rPr>
                <w:rFonts w:ascii="Arial" w:hAnsi="Arial" w:cs="Arial"/>
              </w:rPr>
              <w:t>%</w:t>
            </w:r>
          </w:p>
        </w:tc>
      </w:tr>
      <w:tr w:rsidR="00DB7402" w14:paraId="1BFD835C" w14:textId="77777777" w:rsidTr="00CD0B33">
        <w:tc>
          <w:tcPr>
            <w:tcW w:w="2547" w:type="dxa"/>
            <w:shd w:val="clear" w:color="auto" w:fill="C6D9F1" w:themeFill="text2" w:themeFillTint="33"/>
          </w:tcPr>
          <w:p w14:paraId="6D04D1FC" w14:textId="3E573EC6" w:rsidR="00DB7402" w:rsidRDefault="00DB7402" w:rsidP="006A2724">
            <w:pPr>
              <w:pStyle w:val="ListNumber2"/>
              <w:numPr>
                <w:ilvl w:val="0"/>
                <w:numId w:val="0"/>
              </w:numPr>
              <w:rPr>
                <w:rFonts w:ascii="Arial" w:hAnsi="Arial" w:cs="Arial"/>
              </w:rPr>
            </w:pPr>
            <w:r>
              <w:rPr>
                <w:rFonts w:ascii="Arial" w:hAnsi="Arial" w:cs="Arial"/>
              </w:rPr>
              <w:t>Discharge</w:t>
            </w:r>
          </w:p>
        </w:tc>
        <w:tc>
          <w:tcPr>
            <w:tcW w:w="6946" w:type="dxa"/>
          </w:tcPr>
          <w:p w14:paraId="6750FD3E" w14:textId="77777777" w:rsidR="00A3451D" w:rsidRPr="00A156CA" w:rsidRDefault="005F5CB4" w:rsidP="00A156CA">
            <w:pPr>
              <w:pStyle w:val="ListNumber2"/>
              <w:numPr>
                <w:ilvl w:val="0"/>
                <w:numId w:val="0"/>
              </w:numPr>
              <w:jc w:val="center"/>
              <w:rPr>
                <w:rFonts w:ascii="Arial" w:hAnsi="Arial" w:cs="Arial"/>
                <w:b/>
                <w:noProof/>
              </w:rPr>
            </w:pPr>
            <w:r w:rsidRPr="00A156CA">
              <w:rPr>
                <w:rFonts w:ascii="Arial" w:hAnsi="Arial" w:cs="Arial"/>
                <w:b/>
                <w:noProof/>
              </w:rPr>
              <w:t>6 in total</w:t>
            </w:r>
          </w:p>
          <w:p w14:paraId="422F3A90" w14:textId="77777777" w:rsidR="005F5CB4" w:rsidRDefault="005F5CB4" w:rsidP="005F5CB4">
            <w:pPr>
              <w:pStyle w:val="ListNumber2"/>
              <w:numPr>
                <w:ilvl w:val="0"/>
                <w:numId w:val="33"/>
              </w:numPr>
              <w:rPr>
                <w:rFonts w:ascii="Arial" w:hAnsi="Arial" w:cs="Arial"/>
              </w:rPr>
            </w:pPr>
            <w:r>
              <w:rPr>
                <w:rFonts w:ascii="Arial" w:hAnsi="Arial" w:cs="Arial"/>
              </w:rPr>
              <w:t>Potential Patient Safety Event: 0%</w:t>
            </w:r>
          </w:p>
          <w:p w14:paraId="28E675F7" w14:textId="683D23D5" w:rsidR="005F5CB4" w:rsidRDefault="005F5CB4" w:rsidP="005F5CB4">
            <w:pPr>
              <w:pStyle w:val="ListNumber2"/>
              <w:numPr>
                <w:ilvl w:val="0"/>
                <w:numId w:val="33"/>
              </w:numPr>
              <w:rPr>
                <w:rFonts w:ascii="Arial" w:hAnsi="Arial" w:cs="Arial"/>
              </w:rPr>
            </w:pPr>
            <w:r>
              <w:rPr>
                <w:rFonts w:ascii="Arial" w:hAnsi="Arial" w:cs="Arial"/>
              </w:rPr>
              <w:t xml:space="preserve">A Learning Opportunity: </w:t>
            </w:r>
            <w:r w:rsidR="00C11304">
              <w:rPr>
                <w:rFonts w:ascii="Arial" w:hAnsi="Arial" w:cs="Arial"/>
              </w:rPr>
              <w:t>17%</w:t>
            </w:r>
          </w:p>
          <w:p w14:paraId="2C483B6E" w14:textId="0C7AACF0" w:rsidR="005F5CB4" w:rsidRDefault="005F5CB4" w:rsidP="005F5CB4">
            <w:pPr>
              <w:pStyle w:val="ListNumber2"/>
              <w:numPr>
                <w:ilvl w:val="0"/>
                <w:numId w:val="33"/>
              </w:numPr>
              <w:rPr>
                <w:rFonts w:ascii="Arial" w:hAnsi="Arial" w:cs="Arial"/>
              </w:rPr>
            </w:pPr>
            <w:r>
              <w:rPr>
                <w:rFonts w:ascii="Arial" w:hAnsi="Arial" w:cs="Arial"/>
              </w:rPr>
              <w:t xml:space="preserve">Expected Practice/ Process: </w:t>
            </w:r>
            <w:r w:rsidR="00C11304">
              <w:rPr>
                <w:rFonts w:ascii="Arial" w:hAnsi="Arial" w:cs="Arial"/>
              </w:rPr>
              <w:t>17%</w:t>
            </w:r>
          </w:p>
          <w:p w14:paraId="0C50168C" w14:textId="5E8F4D4D" w:rsidR="005F5CB4" w:rsidRDefault="005F5CB4" w:rsidP="005F5CB4">
            <w:pPr>
              <w:pStyle w:val="ListNumber2"/>
              <w:numPr>
                <w:ilvl w:val="0"/>
                <w:numId w:val="33"/>
              </w:numPr>
              <w:rPr>
                <w:rFonts w:ascii="Arial" w:hAnsi="Arial" w:cs="Arial"/>
              </w:rPr>
            </w:pPr>
            <w:r>
              <w:rPr>
                <w:rFonts w:ascii="Arial" w:hAnsi="Arial" w:cs="Arial"/>
              </w:rPr>
              <w:t xml:space="preserve">Good care: </w:t>
            </w:r>
            <w:r w:rsidR="00C11304">
              <w:rPr>
                <w:rFonts w:ascii="Arial" w:hAnsi="Arial" w:cs="Arial"/>
              </w:rPr>
              <w:t>67</w:t>
            </w:r>
            <w:r>
              <w:rPr>
                <w:rFonts w:ascii="Arial" w:hAnsi="Arial" w:cs="Arial"/>
              </w:rPr>
              <w:t>%</w:t>
            </w:r>
          </w:p>
          <w:p w14:paraId="6CF8B325" w14:textId="60C7C41C" w:rsidR="005F5CB4" w:rsidRPr="005F5CB4" w:rsidRDefault="005F5CB4" w:rsidP="005F5CB4">
            <w:pPr>
              <w:pStyle w:val="ListNumber2"/>
              <w:numPr>
                <w:ilvl w:val="0"/>
                <w:numId w:val="33"/>
              </w:numPr>
              <w:rPr>
                <w:rFonts w:ascii="Arial" w:hAnsi="Arial" w:cs="Arial"/>
              </w:rPr>
            </w:pPr>
            <w:r w:rsidRPr="005F5CB4">
              <w:rPr>
                <w:rFonts w:ascii="Arial" w:hAnsi="Arial" w:cs="Arial"/>
              </w:rPr>
              <w:t xml:space="preserve">Exemplary Practice/ Process: </w:t>
            </w:r>
            <w:r w:rsidR="00C11304">
              <w:rPr>
                <w:rFonts w:ascii="Arial" w:hAnsi="Arial" w:cs="Arial"/>
              </w:rPr>
              <w:t>0</w:t>
            </w:r>
            <w:r w:rsidRPr="005F5CB4">
              <w:rPr>
                <w:rFonts w:ascii="Arial" w:hAnsi="Arial" w:cs="Arial"/>
              </w:rPr>
              <w:t>%</w:t>
            </w:r>
          </w:p>
        </w:tc>
      </w:tr>
      <w:tr w:rsidR="00DB7402" w14:paraId="1DACB373" w14:textId="77777777" w:rsidTr="00CD0B33">
        <w:trPr>
          <w:trHeight w:val="1104"/>
        </w:trPr>
        <w:tc>
          <w:tcPr>
            <w:tcW w:w="2547" w:type="dxa"/>
            <w:shd w:val="clear" w:color="auto" w:fill="C6D9F1" w:themeFill="text2" w:themeFillTint="33"/>
          </w:tcPr>
          <w:p w14:paraId="79A17B8A" w14:textId="77777777" w:rsidR="00DB7402" w:rsidRDefault="00DB7402" w:rsidP="006A2724">
            <w:pPr>
              <w:pStyle w:val="ListNumber2"/>
              <w:numPr>
                <w:ilvl w:val="0"/>
                <w:numId w:val="0"/>
              </w:numPr>
              <w:rPr>
                <w:rFonts w:ascii="Arial" w:hAnsi="Arial" w:cs="Arial"/>
              </w:rPr>
            </w:pPr>
          </w:p>
          <w:p w14:paraId="552833D0" w14:textId="6A6C743F" w:rsidR="00DB7402" w:rsidRDefault="00DB7402" w:rsidP="006A2724">
            <w:pPr>
              <w:pStyle w:val="ListNumber2"/>
              <w:numPr>
                <w:ilvl w:val="0"/>
                <w:numId w:val="0"/>
              </w:numPr>
              <w:rPr>
                <w:rFonts w:ascii="Arial" w:hAnsi="Arial" w:cs="Arial"/>
              </w:rPr>
            </w:pPr>
            <w:r>
              <w:rPr>
                <w:rFonts w:ascii="Arial" w:hAnsi="Arial" w:cs="Arial"/>
              </w:rPr>
              <w:t>Overall care</w:t>
            </w:r>
          </w:p>
        </w:tc>
        <w:tc>
          <w:tcPr>
            <w:tcW w:w="6946" w:type="dxa"/>
          </w:tcPr>
          <w:p w14:paraId="39C331E4" w14:textId="5D3AD677" w:rsidR="00C11304" w:rsidRPr="00A156CA" w:rsidRDefault="00C11304" w:rsidP="00A156CA">
            <w:pPr>
              <w:pStyle w:val="ListNumber2"/>
              <w:numPr>
                <w:ilvl w:val="0"/>
                <w:numId w:val="0"/>
              </w:numPr>
              <w:ind w:left="643" w:hanging="360"/>
              <w:jc w:val="center"/>
              <w:rPr>
                <w:rFonts w:ascii="Arial" w:hAnsi="Arial" w:cs="Arial"/>
                <w:b/>
              </w:rPr>
            </w:pPr>
            <w:r w:rsidRPr="00A156CA">
              <w:rPr>
                <w:rFonts w:ascii="Arial" w:hAnsi="Arial" w:cs="Arial"/>
                <w:b/>
              </w:rPr>
              <w:t>17 in total</w:t>
            </w:r>
          </w:p>
          <w:p w14:paraId="753F33E7" w14:textId="4A084170" w:rsidR="00C11304" w:rsidRDefault="00C11304" w:rsidP="00C11304">
            <w:pPr>
              <w:pStyle w:val="ListNumber2"/>
              <w:numPr>
                <w:ilvl w:val="0"/>
                <w:numId w:val="34"/>
              </w:numPr>
              <w:rPr>
                <w:rFonts w:ascii="Arial" w:hAnsi="Arial" w:cs="Arial"/>
              </w:rPr>
            </w:pPr>
            <w:r>
              <w:rPr>
                <w:rFonts w:ascii="Arial" w:hAnsi="Arial" w:cs="Arial"/>
              </w:rPr>
              <w:t>Potential Patient Safety Event: 0%</w:t>
            </w:r>
          </w:p>
          <w:p w14:paraId="14B71709" w14:textId="3E894766" w:rsidR="00C11304" w:rsidRDefault="00C11304" w:rsidP="00C11304">
            <w:pPr>
              <w:pStyle w:val="ListNumber2"/>
              <w:numPr>
                <w:ilvl w:val="0"/>
                <w:numId w:val="34"/>
              </w:numPr>
              <w:rPr>
                <w:rFonts w:ascii="Arial" w:hAnsi="Arial" w:cs="Arial"/>
              </w:rPr>
            </w:pPr>
            <w:r>
              <w:rPr>
                <w:rFonts w:ascii="Arial" w:hAnsi="Arial" w:cs="Arial"/>
              </w:rPr>
              <w:t>A Learning Opportunity: 6%</w:t>
            </w:r>
          </w:p>
          <w:p w14:paraId="4EFB8052" w14:textId="3E9E1472" w:rsidR="00C11304" w:rsidRDefault="00C11304" w:rsidP="00C11304">
            <w:pPr>
              <w:pStyle w:val="ListNumber2"/>
              <w:numPr>
                <w:ilvl w:val="0"/>
                <w:numId w:val="34"/>
              </w:numPr>
              <w:rPr>
                <w:rFonts w:ascii="Arial" w:hAnsi="Arial" w:cs="Arial"/>
              </w:rPr>
            </w:pPr>
            <w:r>
              <w:rPr>
                <w:rFonts w:ascii="Arial" w:hAnsi="Arial" w:cs="Arial"/>
              </w:rPr>
              <w:t>Expected Practice/ Process: 29%</w:t>
            </w:r>
          </w:p>
          <w:p w14:paraId="5208EF0B" w14:textId="4E058CCF" w:rsidR="00C11304" w:rsidRDefault="00C11304" w:rsidP="00C11304">
            <w:pPr>
              <w:pStyle w:val="ListNumber2"/>
              <w:numPr>
                <w:ilvl w:val="0"/>
                <w:numId w:val="34"/>
              </w:numPr>
              <w:rPr>
                <w:rFonts w:ascii="Arial" w:hAnsi="Arial" w:cs="Arial"/>
              </w:rPr>
            </w:pPr>
            <w:r>
              <w:rPr>
                <w:rFonts w:ascii="Arial" w:hAnsi="Arial" w:cs="Arial"/>
              </w:rPr>
              <w:t>Good care: 53%</w:t>
            </w:r>
          </w:p>
          <w:p w14:paraId="0258A488" w14:textId="208C8648" w:rsidR="00A3451D" w:rsidRPr="00C11304" w:rsidRDefault="00C11304" w:rsidP="00C11304">
            <w:pPr>
              <w:pStyle w:val="ListNumber2"/>
              <w:numPr>
                <w:ilvl w:val="0"/>
                <w:numId w:val="34"/>
              </w:numPr>
              <w:rPr>
                <w:rFonts w:ascii="Arial" w:hAnsi="Arial" w:cs="Arial"/>
              </w:rPr>
            </w:pPr>
            <w:r w:rsidRPr="00C11304">
              <w:rPr>
                <w:rFonts w:ascii="Arial" w:hAnsi="Arial" w:cs="Arial"/>
              </w:rPr>
              <w:t xml:space="preserve">Exemplary Practice/ Process: </w:t>
            </w:r>
            <w:r>
              <w:rPr>
                <w:rFonts w:ascii="Arial" w:hAnsi="Arial" w:cs="Arial"/>
              </w:rPr>
              <w:t>12%</w:t>
            </w:r>
          </w:p>
        </w:tc>
      </w:tr>
    </w:tbl>
    <w:p w14:paraId="09544171" w14:textId="77777777" w:rsidR="0021510E" w:rsidRPr="009B51FA" w:rsidRDefault="0021510E" w:rsidP="006A2724">
      <w:pPr>
        <w:pStyle w:val="ListNumber2"/>
        <w:numPr>
          <w:ilvl w:val="0"/>
          <w:numId w:val="0"/>
        </w:numPr>
        <w:rPr>
          <w:rFonts w:ascii="Arial" w:hAnsi="Arial" w:cs="Arial"/>
        </w:rPr>
      </w:pPr>
    </w:p>
    <w:p w14:paraId="328E83F6" w14:textId="1926FF26" w:rsidR="00A156CA" w:rsidRPr="00A156CA" w:rsidRDefault="00A156CA" w:rsidP="00A156CA">
      <w:pPr>
        <w:rPr>
          <w:rFonts w:ascii="Arial" w:hAnsi="Arial" w:cs="Arial"/>
        </w:rPr>
      </w:pPr>
      <w:r w:rsidRPr="00A156CA">
        <w:rPr>
          <w:rFonts w:ascii="Arial" w:hAnsi="Arial" w:cs="Arial"/>
        </w:rPr>
        <w:t xml:space="preserve">5.2 </w:t>
      </w:r>
      <w:r w:rsidR="00EF3B2E" w:rsidRPr="00A156CA">
        <w:rPr>
          <w:rFonts w:ascii="Arial" w:hAnsi="Arial" w:cs="Arial"/>
        </w:rPr>
        <w:t xml:space="preserve">Overall care was rated good and above in </w:t>
      </w:r>
      <w:r w:rsidRPr="00A156CA">
        <w:rPr>
          <w:rFonts w:ascii="Arial" w:hAnsi="Arial" w:cs="Arial"/>
        </w:rPr>
        <w:t xml:space="preserve">65%, </w:t>
      </w:r>
      <w:r w:rsidR="00EF3B2E" w:rsidRPr="00A156CA">
        <w:rPr>
          <w:rFonts w:ascii="Arial" w:hAnsi="Arial" w:cs="Arial"/>
        </w:rPr>
        <w:t xml:space="preserve">of the cases reviewed. </w:t>
      </w:r>
      <w:r w:rsidRPr="00A156CA">
        <w:rPr>
          <w:rFonts w:ascii="Arial" w:hAnsi="Arial" w:cs="Arial"/>
        </w:rPr>
        <w:t xml:space="preserve">This compared to 58% in the previous quarter. </w:t>
      </w:r>
      <w:r w:rsidR="00ED3518" w:rsidRPr="00A156CA">
        <w:rPr>
          <w:rFonts w:ascii="Arial" w:hAnsi="Arial" w:cs="Arial"/>
        </w:rPr>
        <w:t>Learning (including</w:t>
      </w:r>
      <w:r w:rsidRPr="00A156CA">
        <w:rPr>
          <w:rFonts w:ascii="Arial" w:hAnsi="Arial" w:cs="Arial"/>
        </w:rPr>
        <w:t xml:space="preserve"> learning opportunities</w:t>
      </w:r>
      <w:r w:rsidR="00ED3518" w:rsidRPr="00A156CA">
        <w:rPr>
          <w:rFonts w:ascii="Arial" w:hAnsi="Arial" w:cs="Arial"/>
        </w:rPr>
        <w:t>)</w:t>
      </w:r>
      <w:r w:rsidR="00EF3B2E" w:rsidRPr="00A156CA">
        <w:rPr>
          <w:rFonts w:ascii="Arial" w:hAnsi="Arial" w:cs="Arial"/>
        </w:rPr>
        <w:t xml:space="preserve">, </w:t>
      </w:r>
      <w:r w:rsidR="00ED3518" w:rsidRPr="00A156CA">
        <w:rPr>
          <w:rFonts w:ascii="Arial" w:hAnsi="Arial" w:cs="Arial"/>
        </w:rPr>
        <w:t>has</w:t>
      </w:r>
      <w:r w:rsidR="00EF3B2E" w:rsidRPr="00A156CA">
        <w:rPr>
          <w:rFonts w:ascii="Arial" w:hAnsi="Arial" w:cs="Arial"/>
        </w:rPr>
        <w:t xml:space="preserve"> been shared across the Directorates</w:t>
      </w:r>
      <w:r w:rsidRPr="00A156CA">
        <w:rPr>
          <w:rFonts w:ascii="Arial" w:hAnsi="Arial" w:cs="Arial"/>
        </w:rPr>
        <w:t>.</w:t>
      </w:r>
    </w:p>
    <w:p w14:paraId="623FA328" w14:textId="7EC3F17A" w:rsidR="00A156CA" w:rsidRPr="00A156CA" w:rsidRDefault="00A156CA" w:rsidP="00A156CA">
      <w:pPr>
        <w:pStyle w:val="NoSpacing"/>
        <w:rPr>
          <w:rFonts w:ascii="Arial" w:hAnsi="Arial" w:cs="Arial"/>
        </w:rPr>
      </w:pPr>
      <w:r>
        <w:rPr>
          <w:rFonts w:ascii="Arial" w:hAnsi="Arial" w:cs="Arial"/>
        </w:rPr>
        <w:t>5.3 1 SJR followed the escalation process (2</w:t>
      </w:r>
      <w:r w:rsidRPr="00A156CA">
        <w:rPr>
          <w:rFonts w:ascii="Arial" w:hAnsi="Arial" w:cs="Arial"/>
          <w:vertAlign w:val="superscript"/>
        </w:rPr>
        <w:t>nd</w:t>
      </w:r>
      <w:r>
        <w:rPr>
          <w:rFonts w:ascii="Arial" w:hAnsi="Arial" w:cs="Arial"/>
        </w:rPr>
        <w:t xml:space="preserve"> SJR and decision panel discussion), due to opportunities for learning identified. The PSIRF local and national priorities were not met in this case, and learning shared with Directorates.</w:t>
      </w:r>
    </w:p>
    <w:p w14:paraId="7840F263" w14:textId="77777777" w:rsidR="006725F1" w:rsidRDefault="006725F1" w:rsidP="007E20F4">
      <w:pPr>
        <w:pStyle w:val="ListNumber2"/>
        <w:numPr>
          <w:ilvl w:val="0"/>
          <w:numId w:val="0"/>
        </w:numPr>
        <w:rPr>
          <w:rFonts w:ascii="Arial" w:hAnsi="Arial" w:cs="Arial"/>
        </w:rPr>
      </w:pPr>
    </w:p>
    <w:p w14:paraId="022BBCE8" w14:textId="77777777" w:rsidR="006725F1" w:rsidRDefault="006725F1" w:rsidP="007E20F4">
      <w:pPr>
        <w:pStyle w:val="ListNumber2"/>
        <w:numPr>
          <w:ilvl w:val="0"/>
          <w:numId w:val="0"/>
        </w:numPr>
        <w:rPr>
          <w:rFonts w:ascii="Arial" w:hAnsi="Arial" w:cs="Arial"/>
        </w:rPr>
      </w:pPr>
    </w:p>
    <w:p w14:paraId="480F8858" w14:textId="77777777" w:rsidR="006725F1" w:rsidRDefault="006725F1" w:rsidP="007E20F4">
      <w:pPr>
        <w:pStyle w:val="ListNumber2"/>
        <w:numPr>
          <w:ilvl w:val="0"/>
          <w:numId w:val="0"/>
        </w:numPr>
        <w:rPr>
          <w:rFonts w:ascii="Arial" w:hAnsi="Arial" w:cs="Arial"/>
        </w:rPr>
      </w:pPr>
    </w:p>
    <w:p w14:paraId="51F32201" w14:textId="77777777" w:rsidR="006725F1" w:rsidRDefault="006725F1" w:rsidP="007E20F4">
      <w:pPr>
        <w:pStyle w:val="ListNumber2"/>
        <w:numPr>
          <w:ilvl w:val="0"/>
          <w:numId w:val="0"/>
        </w:numPr>
        <w:rPr>
          <w:rFonts w:ascii="Arial" w:hAnsi="Arial" w:cs="Arial"/>
        </w:rPr>
      </w:pPr>
    </w:p>
    <w:p w14:paraId="12E72D67" w14:textId="77777777" w:rsidR="006725F1" w:rsidRDefault="006725F1" w:rsidP="007E20F4">
      <w:pPr>
        <w:pStyle w:val="ListNumber2"/>
        <w:numPr>
          <w:ilvl w:val="0"/>
          <w:numId w:val="0"/>
        </w:numPr>
        <w:rPr>
          <w:rFonts w:ascii="Arial" w:hAnsi="Arial" w:cs="Arial"/>
        </w:rPr>
      </w:pPr>
    </w:p>
    <w:p w14:paraId="38515050" w14:textId="77777777" w:rsidR="006725F1" w:rsidRDefault="006725F1" w:rsidP="007E20F4">
      <w:pPr>
        <w:pStyle w:val="ListNumber2"/>
        <w:numPr>
          <w:ilvl w:val="0"/>
          <w:numId w:val="0"/>
        </w:numPr>
        <w:rPr>
          <w:rFonts w:ascii="Arial" w:hAnsi="Arial" w:cs="Arial"/>
        </w:rPr>
      </w:pPr>
    </w:p>
    <w:p w14:paraId="49A2372C" w14:textId="49C57CCB" w:rsidR="00F36803" w:rsidRDefault="00EF3B2E" w:rsidP="007E20F4">
      <w:pPr>
        <w:pStyle w:val="ListNumber2"/>
        <w:numPr>
          <w:ilvl w:val="0"/>
          <w:numId w:val="0"/>
        </w:numPr>
        <w:rPr>
          <w:rFonts w:ascii="Arial" w:hAnsi="Arial" w:cs="Arial"/>
        </w:rPr>
      </w:pPr>
      <w:bookmarkStart w:id="2" w:name="_GoBack"/>
      <w:bookmarkEnd w:id="2"/>
      <w:r>
        <w:rPr>
          <w:rFonts w:ascii="Arial" w:hAnsi="Arial" w:cs="Arial"/>
        </w:rPr>
        <w:lastRenderedPageBreak/>
        <w:t xml:space="preserve">5.4 </w:t>
      </w:r>
      <w:r w:rsidR="004F47CD">
        <w:rPr>
          <w:rFonts w:ascii="Arial" w:hAnsi="Arial" w:cs="Arial"/>
        </w:rPr>
        <w:t>SJR learning has been grouped in the following areas:</w:t>
      </w:r>
    </w:p>
    <w:tbl>
      <w:tblPr>
        <w:tblW w:w="5000" w:type="pct"/>
        <w:tblLook w:val="04A0" w:firstRow="1" w:lastRow="0" w:firstColumn="1" w:lastColumn="0" w:noHBand="0" w:noVBand="1"/>
      </w:tblPr>
      <w:tblGrid>
        <w:gridCol w:w="1367"/>
        <w:gridCol w:w="1354"/>
        <w:gridCol w:w="1540"/>
        <w:gridCol w:w="286"/>
        <w:gridCol w:w="1281"/>
        <w:gridCol w:w="1798"/>
        <w:gridCol w:w="1390"/>
      </w:tblGrid>
      <w:tr w:rsidR="00ED3518" w:rsidRPr="004F47CD" w14:paraId="72653C7B" w14:textId="77777777" w:rsidTr="00ED3518">
        <w:trPr>
          <w:trHeight w:val="620"/>
        </w:trPr>
        <w:tc>
          <w:tcPr>
            <w:tcW w:w="758" w:type="pct"/>
            <w:tcBorders>
              <w:top w:val="single" w:sz="4" w:space="0" w:color="auto"/>
              <w:left w:val="single" w:sz="4" w:space="0" w:color="auto"/>
              <w:bottom w:val="single" w:sz="4" w:space="0" w:color="auto"/>
              <w:right w:val="single" w:sz="4" w:space="0" w:color="auto"/>
            </w:tcBorders>
            <w:shd w:val="clear" w:color="000000" w:fill="C5D9F1"/>
            <w:vAlign w:val="bottom"/>
            <w:hideMark/>
          </w:tcPr>
          <w:p w14:paraId="6AFA0C75" w14:textId="77777777" w:rsidR="00ED3518" w:rsidRPr="004F47CD" w:rsidRDefault="00ED3518" w:rsidP="004F47CD">
            <w:pPr>
              <w:spacing w:after="0" w:line="240" w:lineRule="auto"/>
              <w:rPr>
                <w:rFonts w:ascii="Calibri" w:eastAsia="Times New Roman" w:hAnsi="Calibri" w:cs="Calibri"/>
                <w:b/>
                <w:bCs/>
                <w:color w:val="000000"/>
                <w:sz w:val="24"/>
                <w:szCs w:val="24"/>
                <w:lang w:eastAsia="en-GB"/>
              </w:rPr>
            </w:pPr>
            <w:r w:rsidRPr="004F47CD">
              <w:rPr>
                <w:rFonts w:ascii="Calibri" w:eastAsia="Times New Roman" w:hAnsi="Calibri" w:cs="Calibri"/>
                <w:b/>
                <w:bCs/>
                <w:color w:val="000000"/>
                <w:sz w:val="24"/>
                <w:szCs w:val="24"/>
                <w:lang w:eastAsia="en-GB"/>
              </w:rPr>
              <w:t>Risk assessment</w:t>
            </w:r>
          </w:p>
        </w:tc>
        <w:tc>
          <w:tcPr>
            <w:tcW w:w="751" w:type="pct"/>
            <w:tcBorders>
              <w:top w:val="single" w:sz="4" w:space="0" w:color="auto"/>
              <w:left w:val="nil"/>
              <w:bottom w:val="single" w:sz="4" w:space="0" w:color="auto"/>
              <w:right w:val="single" w:sz="4" w:space="0" w:color="auto"/>
            </w:tcBorders>
            <w:shd w:val="clear" w:color="000000" w:fill="FCD5B4"/>
            <w:vAlign w:val="bottom"/>
            <w:hideMark/>
          </w:tcPr>
          <w:p w14:paraId="15BCE72F" w14:textId="77777777" w:rsidR="00ED3518" w:rsidRPr="004F47CD" w:rsidRDefault="00ED3518" w:rsidP="004F47CD">
            <w:pPr>
              <w:spacing w:after="0" w:line="240" w:lineRule="auto"/>
              <w:rPr>
                <w:rFonts w:ascii="Calibri" w:eastAsia="Times New Roman" w:hAnsi="Calibri" w:cs="Calibri"/>
                <w:b/>
                <w:bCs/>
                <w:color w:val="000000"/>
                <w:sz w:val="24"/>
                <w:szCs w:val="24"/>
                <w:lang w:eastAsia="en-GB"/>
              </w:rPr>
            </w:pPr>
            <w:r w:rsidRPr="004F47CD">
              <w:rPr>
                <w:rFonts w:ascii="Calibri" w:eastAsia="Times New Roman" w:hAnsi="Calibri" w:cs="Calibri"/>
                <w:b/>
                <w:bCs/>
                <w:color w:val="000000"/>
                <w:sz w:val="24"/>
                <w:szCs w:val="24"/>
                <w:lang w:eastAsia="en-GB"/>
              </w:rPr>
              <w:t>Medication</w:t>
            </w:r>
          </w:p>
        </w:tc>
        <w:tc>
          <w:tcPr>
            <w:tcW w:w="854" w:type="pct"/>
            <w:tcBorders>
              <w:top w:val="single" w:sz="4" w:space="0" w:color="auto"/>
              <w:left w:val="nil"/>
              <w:bottom w:val="single" w:sz="4" w:space="0" w:color="auto"/>
              <w:right w:val="single" w:sz="4" w:space="0" w:color="auto"/>
            </w:tcBorders>
            <w:shd w:val="clear" w:color="000000" w:fill="D8E4BC"/>
            <w:vAlign w:val="bottom"/>
            <w:hideMark/>
          </w:tcPr>
          <w:p w14:paraId="0AFDA129" w14:textId="77777777" w:rsidR="00ED3518" w:rsidRPr="004F47CD" w:rsidRDefault="00ED3518" w:rsidP="004F47CD">
            <w:pPr>
              <w:spacing w:after="0" w:line="240" w:lineRule="auto"/>
              <w:rPr>
                <w:rFonts w:ascii="Calibri" w:eastAsia="Times New Roman" w:hAnsi="Calibri" w:cs="Calibri"/>
                <w:b/>
                <w:bCs/>
                <w:color w:val="000000"/>
                <w:sz w:val="24"/>
                <w:szCs w:val="24"/>
                <w:lang w:eastAsia="en-GB"/>
              </w:rPr>
            </w:pPr>
            <w:r w:rsidRPr="004F47CD">
              <w:rPr>
                <w:rFonts w:ascii="Calibri" w:eastAsia="Times New Roman" w:hAnsi="Calibri" w:cs="Calibri"/>
                <w:b/>
                <w:bCs/>
                <w:color w:val="000000"/>
                <w:sz w:val="24"/>
                <w:szCs w:val="24"/>
                <w:lang w:eastAsia="en-GB"/>
              </w:rPr>
              <w:t xml:space="preserve"> Treatment and management plan</w:t>
            </w:r>
          </w:p>
        </w:tc>
        <w:tc>
          <w:tcPr>
            <w:tcW w:w="159" w:type="pct"/>
            <w:tcBorders>
              <w:top w:val="single" w:sz="4" w:space="0" w:color="auto"/>
              <w:left w:val="nil"/>
              <w:bottom w:val="single" w:sz="4" w:space="0" w:color="auto"/>
              <w:right w:val="nil"/>
            </w:tcBorders>
            <w:shd w:val="clear" w:color="000000" w:fill="E6B8B7"/>
          </w:tcPr>
          <w:p w14:paraId="56275426" w14:textId="77777777" w:rsidR="00ED3518" w:rsidRPr="004F47CD" w:rsidRDefault="00ED3518" w:rsidP="004F47CD">
            <w:pPr>
              <w:spacing w:after="0" w:line="240" w:lineRule="auto"/>
              <w:rPr>
                <w:rFonts w:ascii="Calibri" w:eastAsia="Times New Roman" w:hAnsi="Calibri" w:cs="Calibri"/>
                <w:b/>
                <w:bCs/>
                <w:color w:val="000000"/>
                <w:sz w:val="24"/>
                <w:szCs w:val="24"/>
                <w:lang w:eastAsia="en-GB"/>
              </w:rPr>
            </w:pPr>
          </w:p>
        </w:tc>
        <w:tc>
          <w:tcPr>
            <w:tcW w:w="710" w:type="pct"/>
            <w:tcBorders>
              <w:top w:val="single" w:sz="4" w:space="0" w:color="auto"/>
              <w:left w:val="nil"/>
              <w:bottom w:val="single" w:sz="4" w:space="0" w:color="auto"/>
              <w:right w:val="single" w:sz="4" w:space="0" w:color="auto"/>
            </w:tcBorders>
            <w:shd w:val="clear" w:color="000000" w:fill="E6B8B7"/>
            <w:vAlign w:val="bottom"/>
            <w:hideMark/>
          </w:tcPr>
          <w:p w14:paraId="3F1C6661" w14:textId="29741B3D" w:rsidR="00ED3518" w:rsidRPr="004F47CD" w:rsidRDefault="00ED3518" w:rsidP="00A156CA">
            <w:pPr>
              <w:spacing w:after="0" w:line="240" w:lineRule="auto"/>
              <w:jc w:val="both"/>
              <w:rPr>
                <w:rFonts w:ascii="Calibri" w:eastAsia="Times New Roman" w:hAnsi="Calibri" w:cs="Calibri"/>
                <w:b/>
                <w:bCs/>
                <w:color w:val="000000"/>
                <w:sz w:val="24"/>
                <w:szCs w:val="24"/>
                <w:lang w:eastAsia="en-GB"/>
              </w:rPr>
            </w:pPr>
            <w:r w:rsidRPr="004F47CD">
              <w:rPr>
                <w:rFonts w:ascii="Calibri" w:eastAsia="Times New Roman" w:hAnsi="Calibri" w:cs="Calibri"/>
                <w:b/>
                <w:bCs/>
                <w:color w:val="000000"/>
                <w:sz w:val="24"/>
                <w:szCs w:val="24"/>
                <w:lang w:eastAsia="en-GB"/>
              </w:rPr>
              <w:t>Physical healthcare</w:t>
            </w:r>
          </w:p>
        </w:tc>
        <w:tc>
          <w:tcPr>
            <w:tcW w:w="997" w:type="pct"/>
            <w:tcBorders>
              <w:top w:val="single" w:sz="4" w:space="0" w:color="auto"/>
              <w:left w:val="nil"/>
              <w:bottom w:val="single" w:sz="4" w:space="0" w:color="auto"/>
              <w:right w:val="single" w:sz="4" w:space="0" w:color="auto"/>
            </w:tcBorders>
            <w:shd w:val="clear" w:color="000000" w:fill="F4B084"/>
            <w:vAlign w:val="bottom"/>
            <w:hideMark/>
          </w:tcPr>
          <w:p w14:paraId="3F9071D4" w14:textId="77777777" w:rsidR="00ED3518" w:rsidRPr="004F47CD" w:rsidRDefault="00ED3518" w:rsidP="004F47CD">
            <w:pPr>
              <w:spacing w:after="0" w:line="240" w:lineRule="auto"/>
              <w:rPr>
                <w:rFonts w:ascii="Calibri" w:eastAsia="Times New Roman" w:hAnsi="Calibri" w:cs="Calibri"/>
                <w:b/>
                <w:bCs/>
                <w:color w:val="000000"/>
                <w:sz w:val="24"/>
                <w:szCs w:val="24"/>
                <w:lang w:eastAsia="en-GB"/>
              </w:rPr>
            </w:pPr>
            <w:r w:rsidRPr="004F47CD">
              <w:rPr>
                <w:rFonts w:ascii="Calibri" w:eastAsia="Times New Roman" w:hAnsi="Calibri" w:cs="Calibri"/>
                <w:b/>
                <w:bCs/>
                <w:color w:val="000000"/>
                <w:sz w:val="24"/>
                <w:szCs w:val="24"/>
                <w:lang w:eastAsia="en-GB"/>
              </w:rPr>
              <w:t xml:space="preserve"> Communication</w:t>
            </w:r>
          </w:p>
        </w:tc>
        <w:tc>
          <w:tcPr>
            <w:tcW w:w="771" w:type="pct"/>
            <w:tcBorders>
              <w:top w:val="single" w:sz="4" w:space="0" w:color="auto"/>
              <w:left w:val="nil"/>
              <w:bottom w:val="single" w:sz="4" w:space="0" w:color="auto"/>
              <w:right w:val="single" w:sz="4" w:space="0" w:color="auto"/>
            </w:tcBorders>
            <w:shd w:val="clear" w:color="000000" w:fill="9999FF"/>
            <w:noWrap/>
            <w:vAlign w:val="bottom"/>
            <w:hideMark/>
          </w:tcPr>
          <w:p w14:paraId="236B9CA5" w14:textId="77777777" w:rsidR="00ED3518" w:rsidRPr="004F47CD" w:rsidRDefault="00ED3518" w:rsidP="004F47CD">
            <w:pPr>
              <w:spacing w:after="0" w:line="240" w:lineRule="auto"/>
              <w:rPr>
                <w:rFonts w:ascii="Calibri" w:eastAsia="Times New Roman" w:hAnsi="Calibri" w:cs="Calibri"/>
                <w:b/>
                <w:bCs/>
                <w:color w:val="000000"/>
                <w:sz w:val="24"/>
                <w:szCs w:val="24"/>
                <w:lang w:eastAsia="en-GB"/>
              </w:rPr>
            </w:pPr>
            <w:r w:rsidRPr="004F47CD">
              <w:rPr>
                <w:rFonts w:ascii="Calibri" w:eastAsia="Times New Roman" w:hAnsi="Calibri" w:cs="Calibri"/>
                <w:b/>
                <w:bCs/>
                <w:color w:val="000000"/>
                <w:sz w:val="24"/>
                <w:szCs w:val="24"/>
                <w:lang w:eastAsia="en-GB"/>
              </w:rPr>
              <w:t>Other areas</w:t>
            </w:r>
          </w:p>
        </w:tc>
      </w:tr>
    </w:tbl>
    <w:p w14:paraId="7BC9B621" w14:textId="30CE3305" w:rsidR="004F47CD" w:rsidRDefault="004F47CD" w:rsidP="007E20F4">
      <w:pPr>
        <w:pStyle w:val="ListNumber2"/>
        <w:numPr>
          <w:ilvl w:val="0"/>
          <w:numId w:val="0"/>
        </w:numPr>
        <w:rPr>
          <w:rFonts w:ascii="Arial" w:hAnsi="Arial" w:cs="Arial"/>
        </w:rPr>
      </w:pPr>
    </w:p>
    <w:p w14:paraId="718815DD" w14:textId="1E7DFE25" w:rsidR="004F47CD" w:rsidRDefault="00EF3B2E" w:rsidP="007E20F4">
      <w:pPr>
        <w:pStyle w:val="ListNumber2"/>
        <w:numPr>
          <w:ilvl w:val="0"/>
          <w:numId w:val="0"/>
        </w:numPr>
        <w:rPr>
          <w:rFonts w:ascii="Arial" w:hAnsi="Arial" w:cs="Arial"/>
        </w:rPr>
      </w:pPr>
      <w:r>
        <w:rPr>
          <w:rFonts w:ascii="Arial" w:hAnsi="Arial" w:cs="Arial"/>
        </w:rPr>
        <w:t xml:space="preserve">5.5 </w:t>
      </w:r>
      <w:r w:rsidR="009339BB">
        <w:rPr>
          <w:rFonts w:ascii="Arial" w:hAnsi="Arial" w:cs="Arial"/>
        </w:rPr>
        <w:t xml:space="preserve">Areas of good practice </w:t>
      </w:r>
      <w:r w:rsidR="00480E5D">
        <w:rPr>
          <w:rFonts w:ascii="Arial" w:hAnsi="Arial" w:cs="Arial"/>
        </w:rPr>
        <w:t xml:space="preserve">were </w:t>
      </w:r>
      <w:r w:rsidR="009339BB">
        <w:rPr>
          <w:rFonts w:ascii="Arial" w:hAnsi="Arial" w:cs="Arial"/>
        </w:rPr>
        <w:t xml:space="preserve">identified in most SJRs, with minimal areas of learning. Most of the good care was within the treatment and management plan areas, similar to previous reports. </w:t>
      </w:r>
      <w:r w:rsidR="004F47CD">
        <w:rPr>
          <w:rFonts w:ascii="Arial" w:hAnsi="Arial" w:cs="Arial"/>
        </w:rPr>
        <w:t>Each category includes sub-categories to describe the area of care. The top three areas of good care and areas for learning are listed below.</w:t>
      </w:r>
    </w:p>
    <w:p w14:paraId="69C74FF9" w14:textId="77777777" w:rsidR="00EF3B2E" w:rsidRDefault="00EF3B2E" w:rsidP="007E20F4">
      <w:pPr>
        <w:pStyle w:val="ListNumber2"/>
        <w:numPr>
          <w:ilvl w:val="0"/>
          <w:numId w:val="0"/>
        </w:numPr>
        <w:rPr>
          <w:rFonts w:ascii="Arial" w:hAnsi="Arial" w:cs="Arial"/>
          <w:b/>
        </w:rPr>
      </w:pPr>
    </w:p>
    <w:p w14:paraId="391E42AF" w14:textId="1D9F0DE5" w:rsidR="00EF3B2E" w:rsidRDefault="00EF3B2E" w:rsidP="007E20F4">
      <w:pPr>
        <w:pStyle w:val="ListNumber2"/>
        <w:numPr>
          <w:ilvl w:val="0"/>
          <w:numId w:val="0"/>
        </w:numPr>
        <w:rPr>
          <w:rFonts w:ascii="Arial" w:hAnsi="Arial" w:cs="Arial"/>
          <w:b/>
        </w:rPr>
      </w:pPr>
      <w:r>
        <w:rPr>
          <w:rFonts w:ascii="Arial" w:hAnsi="Arial" w:cs="Arial"/>
          <w:b/>
        </w:rPr>
        <w:t>Figure 13- Areas of good care</w:t>
      </w:r>
    </w:p>
    <w:p w14:paraId="2F2FB4A0" w14:textId="426D2A07" w:rsidR="00EF3B2E" w:rsidRDefault="00EF3B2E" w:rsidP="007E20F4">
      <w:pPr>
        <w:pStyle w:val="ListNumber2"/>
        <w:numPr>
          <w:ilvl w:val="0"/>
          <w:numId w:val="0"/>
        </w:numPr>
        <w:rPr>
          <w:rFonts w:ascii="Arial" w:hAnsi="Arial" w:cs="Arial"/>
          <w:b/>
        </w:rPr>
      </w:pPr>
    </w:p>
    <w:p w14:paraId="59BCDEBA" w14:textId="0AC0DEEB" w:rsidR="00EF3B2E" w:rsidRDefault="009339BB" w:rsidP="007E20F4">
      <w:pPr>
        <w:pStyle w:val="ListNumber2"/>
        <w:numPr>
          <w:ilvl w:val="0"/>
          <w:numId w:val="0"/>
        </w:numPr>
        <w:rPr>
          <w:rFonts w:ascii="Arial" w:hAnsi="Arial" w:cs="Arial"/>
          <w:b/>
        </w:rPr>
      </w:pPr>
      <w:r>
        <w:rPr>
          <w:rFonts w:ascii="Arial" w:hAnsi="Arial" w:cs="Arial"/>
          <w:b/>
          <w:noProof/>
        </w:rPr>
        <w:drawing>
          <wp:inline distT="0" distB="0" distL="0" distR="0" wp14:anchorId="243483E3" wp14:editId="05842828">
            <wp:extent cx="5543550" cy="1771650"/>
            <wp:effectExtent l="0" t="0" r="0" b="190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BF2F869" w14:textId="77777777" w:rsidR="00ED3518" w:rsidRDefault="00ED3518" w:rsidP="007E20F4">
      <w:pPr>
        <w:pStyle w:val="ListNumber2"/>
        <w:numPr>
          <w:ilvl w:val="0"/>
          <w:numId w:val="0"/>
        </w:numPr>
        <w:rPr>
          <w:rFonts w:ascii="Arial" w:hAnsi="Arial" w:cs="Arial"/>
          <w:b/>
        </w:rPr>
      </w:pPr>
    </w:p>
    <w:p w14:paraId="46716624" w14:textId="77777777" w:rsidR="007C6FE1" w:rsidRDefault="007C6FE1" w:rsidP="007E20F4">
      <w:pPr>
        <w:pStyle w:val="ListNumber2"/>
        <w:numPr>
          <w:ilvl w:val="0"/>
          <w:numId w:val="0"/>
        </w:numPr>
        <w:rPr>
          <w:rFonts w:ascii="Arial" w:hAnsi="Arial" w:cs="Arial"/>
          <w:b/>
        </w:rPr>
      </w:pPr>
    </w:p>
    <w:p w14:paraId="412DD758" w14:textId="5E068914" w:rsidR="00F5300D" w:rsidRDefault="001E7BF2" w:rsidP="001E7BF2">
      <w:pPr>
        <w:pStyle w:val="ListNumber2"/>
        <w:numPr>
          <w:ilvl w:val="0"/>
          <w:numId w:val="0"/>
        </w:numPr>
        <w:rPr>
          <w:rFonts w:ascii="Arial" w:hAnsi="Arial" w:cs="Arial"/>
          <w:b/>
        </w:rPr>
      </w:pPr>
      <w:r>
        <w:rPr>
          <w:rFonts w:ascii="Arial" w:hAnsi="Arial" w:cs="Arial"/>
          <w:b/>
        </w:rPr>
        <w:t>Figure 14- Areas for improvement</w:t>
      </w:r>
    </w:p>
    <w:p w14:paraId="2D3AC686" w14:textId="38D5DEBA" w:rsidR="009339BB" w:rsidRDefault="009339BB" w:rsidP="001E7BF2">
      <w:pPr>
        <w:pStyle w:val="ListNumber2"/>
        <w:numPr>
          <w:ilvl w:val="0"/>
          <w:numId w:val="0"/>
        </w:numPr>
        <w:rPr>
          <w:rFonts w:ascii="Arial" w:hAnsi="Arial" w:cs="Arial"/>
          <w:b/>
        </w:rPr>
      </w:pPr>
      <w:r>
        <w:rPr>
          <w:rFonts w:ascii="Arial" w:hAnsi="Arial" w:cs="Arial"/>
          <w:b/>
          <w:noProof/>
        </w:rPr>
        <w:drawing>
          <wp:inline distT="0" distB="0" distL="0" distR="0" wp14:anchorId="44E2888E" wp14:editId="4706C7B5">
            <wp:extent cx="5095875" cy="1104900"/>
            <wp:effectExtent l="0" t="0" r="0" b="190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53C58F6" w14:textId="218AA7D9" w:rsidR="009339BB" w:rsidRPr="009339BB" w:rsidRDefault="009339BB" w:rsidP="009339BB">
      <w:pPr>
        <w:rPr>
          <w:rFonts w:ascii="Arial" w:hAnsi="Arial" w:cs="Arial"/>
        </w:rPr>
      </w:pPr>
      <w:r>
        <w:rPr>
          <w:rFonts w:ascii="Arial" w:hAnsi="Arial" w:cs="Arial"/>
        </w:rPr>
        <w:t xml:space="preserve">5.6 </w:t>
      </w:r>
      <w:r w:rsidRPr="009339BB">
        <w:rPr>
          <w:rFonts w:ascii="Arial" w:hAnsi="Arial" w:cs="Arial"/>
        </w:rPr>
        <w:t xml:space="preserve">Other areas of good practice include, comprehensive assessment with the patient, </w:t>
      </w:r>
      <w:r w:rsidR="00CD0B33">
        <w:rPr>
          <w:rFonts w:ascii="Arial" w:hAnsi="Arial" w:cs="Arial"/>
        </w:rPr>
        <w:t>s</w:t>
      </w:r>
      <w:r w:rsidRPr="009339BB">
        <w:rPr>
          <w:rFonts w:ascii="Arial" w:hAnsi="Arial" w:cs="Arial"/>
        </w:rPr>
        <w:t>ensitive and holistic approach to care, to build a therapeutic relationship with the patient, and extra support provided to family and carer.</w:t>
      </w:r>
    </w:p>
    <w:p w14:paraId="16579402" w14:textId="15426264" w:rsidR="00004B9C" w:rsidRDefault="009339BB" w:rsidP="009339BB">
      <w:pPr>
        <w:pStyle w:val="ListNumber2"/>
        <w:numPr>
          <w:ilvl w:val="0"/>
          <w:numId w:val="0"/>
        </w:numPr>
        <w:rPr>
          <w:rFonts w:ascii="Arial" w:hAnsi="Arial" w:cs="Arial"/>
        </w:rPr>
      </w:pPr>
      <w:r>
        <w:rPr>
          <w:rFonts w:ascii="Arial" w:hAnsi="Arial" w:cs="Arial"/>
        </w:rPr>
        <w:t xml:space="preserve">5.7 Other areas for improvement include recognition of eating disorder </w:t>
      </w:r>
      <w:r w:rsidR="00004B9C">
        <w:rPr>
          <w:rFonts w:ascii="Arial" w:hAnsi="Arial" w:cs="Arial"/>
        </w:rPr>
        <w:t>and treatment in line with NICE guidelines and inconsistent records in healthcare records.</w:t>
      </w:r>
    </w:p>
    <w:p w14:paraId="18269686" w14:textId="59C9AE9A" w:rsidR="00004B9C" w:rsidRPr="00004B9C" w:rsidRDefault="00004B9C" w:rsidP="00CD3254">
      <w:pPr>
        <w:rPr>
          <w:rFonts w:ascii="Arial" w:hAnsi="Arial" w:cs="Arial"/>
        </w:rPr>
      </w:pPr>
      <w:r w:rsidRPr="00004B9C">
        <w:rPr>
          <w:rFonts w:ascii="Arial" w:hAnsi="Arial" w:cs="Arial"/>
        </w:rPr>
        <w:t>5.8 Physical health learning was shared with the physical health team</w:t>
      </w:r>
      <w:r w:rsidR="00480E5D">
        <w:rPr>
          <w:rFonts w:ascii="Arial" w:hAnsi="Arial" w:cs="Arial"/>
        </w:rPr>
        <w:t xml:space="preserve">. There were </w:t>
      </w:r>
      <w:r w:rsidRPr="00004B9C">
        <w:rPr>
          <w:rFonts w:ascii="Arial" w:hAnsi="Arial" w:cs="Arial"/>
        </w:rPr>
        <w:t>some noticeable themes in terms of documentation of physical health checks and communication with the GP. Assurance has been provided that these areas are being picked up in the physical health improvement work.</w:t>
      </w:r>
    </w:p>
    <w:p w14:paraId="1B694509" w14:textId="3703ABB1" w:rsidR="00004B9C" w:rsidRPr="00004B9C" w:rsidRDefault="00004B9C" w:rsidP="00004B9C">
      <w:pPr>
        <w:rPr>
          <w:rFonts w:ascii="Arial" w:hAnsi="Arial" w:cs="Arial"/>
        </w:rPr>
      </w:pPr>
      <w:r w:rsidRPr="00004B9C">
        <w:rPr>
          <w:rFonts w:ascii="Arial" w:hAnsi="Arial" w:cs="Arial"/>
        </w:rPr>
        <w:t>5.9 There have been two SJRs where the recommendation has been to share good practice with the assessing clinician</w:t>
      </w:r>
      <w:r w:rsidR="00480E5D">
        <w:rPr>
          <w:rFonts w:ascii="Arial" w:hAnsi="Arial" w:cs="Arial"/>
        </w:rPr>
        <w:t>. T</w:t>
      </w:r>
      <w:r w:rsidRPr="00004B9C">
        <w:rPr>
          <w:rFonts w:ascii="Arial" w:hAnsi="Arial" w:cs="Arial"/>
        </w:rPr>
        <w:t>his is a positive outcome that has been shared with the governances team (West Kent).</w:t>
      </w:r>
    </w:p>
    <w:p w14:paraId="0DDE07A7" w14:textId="77777777" w:rsidR="00004B9C" w:rsidRPr="009339BB" w:rsidRDefault="00004B9C" w:rsidP="009339BB">
      <w:pPr>
        <w:pStyle w:val="ListNumber2"/>
        <w:numPr>
          <w:ilvl w:val="0"/>
          <w:numId w:val="0"/>
        </w:numPr>
        <w:rPr>
          <w:rFonts w:ascii="Arial" w:hAnsi="Arial" w:cs="Arial"/>
        </w:rPr>
      </w:pPr>
    </w:p>
    <w:p w14:paraId="23C08D2E" w14:textId="3F53D2BC" w:rsidR="001B20B1" w:rsidRDefault="00CD3254" w:rsidP="000F1066">
      <w:pPr>
        <w:pStyle w:val="ListNumber2"/>
        <w:numPr>
          <w:ilvl w:val="0"/>
          <w:numId w:val="0"/>
        </w:numPr>
        <w:rPr>
          <w:rFonts w:ascii="Arial" w:hAnsi="Arial" w:cs="Arial"/>
          <w:b/>
        </w:rPr>
      </w:pPr>
      <w:r>
        <w:rPr>
          <w:rFonts w:ascii="Arial" w:hAnsi="Arial" w:cs="Arial"/>
          <w:b/>
        </w:rPr>
        <w:t>6</w:t>
      </w:r>
      <w:r w:rsidR="00102B7B" w:rsidRPr="00102B7B">
        <w:rPr>
          <w:rFonts w:ascii="Arial" w:hAnsi="Arial" w:cs="Arial"/>
          <w:b/>
        </w:rPr>
        <w:t xml:space="preserve"> THE MEDICAL EXAMINER</w:t>
      </w:r>
    </w:p>
    <w:p w14:paraId="07AEAEA2" w14:textId="77777777" w:rsidR="000F40B2" w:rsidRPr="00DB129A" w:rsidRDefault="000F40B2" w:rsidP="000F1066">
      <w:pPr>
        <w:pStyle w:val="ListNumber2"/>
        <w:numPr>
          <w:ilvl w:val="0"/>
          <w:numId w:val="0"/>
        </w:numPr>
        <w:rPr>
          <w:rFonts w:ascii="Arial" w:hAnsi="Arial" w:cs="Arial"/>
          <w:b/>
        </w:rPr>
      </w:pPr>
    </w:p>
    <w:p w14:paraId="34108549" w14:textId="2968227F" w:rsidR="00472E91" w:rsidRDefault="0001150F" w:rsidP="00472E91">
      <w:pPr>
        <w:pStyle w:val="ListNumber2"/>
        <w:numPr>
          <w:ilvl w:val="0"/>
          <w:numId w:val="0"/>
        </w:numPr>
        <w:rPr>
          <w:rFonts w:ascii="Arial" w:hAnsi="Arial" w:cs="Arial"/>
        </w:rPr>
      </w:pPr>
      <w:r>
        <w:rPr>
          <w:rFonts w:ascii="Arial" w:hAnsi="Arial" w:cs="Arial"/>
        </w:rPr>
        <w:t>6</w:t>
      </w:r>
      <w:r w:rsidR="001E7BF2">
        <w:rPr>
          <w:rFonts w:ascii="Arial" w:hAnsi="Arial" w:cs="Arial"/>
        </w:rPr>
        <w:t>.</w:t>
      </w:r>
      <w:r w:rsidR="00546292">
        <w:rPr>
          <w:rFonts w:ascii="Arial" w:hAnsi="Arial" w:cs="Arial"/>
        </w:rPr>
        <w:t xml:space="preserve">1 </w:t>
      </w:r>
      <w:r w:rsidR="00472E91">
        <w:rPr>
          <w:rFonts w:ascii="Arial" w:hAnsi="Arial" w:cs="Arial"/>
        </w:rPr>
        <w:t>The Trust have established a process for referring deaths, that meet the criteria, to the Medical Examiner.</w:t>
      </w:r>
    </w:p>
    <w:p w14:paraId="7CA928D6" w14:textId="00908C89" w:rsidR="00472E91" w:rsidRDefault="00472E91" w:rsidP="00472E91">
      <w:pPr>
        <w:pStyle w:val="ListNumber2"/>
        <w:numPr>
          <w:ilvl w:val="0"/>
          <w:numId w:val="0"/>
        </w:numPr>
        <w:rPr>
          <w:rFonts w:ascii="Arial" w:hAnsi="Arial" w:cs="Arial"/>
        </w:rPr>
      </w:pPr>
    </w:p>
    <w:p w14:paraId="446C21BC" w14:textId="6ED987BA" w:rsidR="00472E91" w:rsidRDefault="0001150F" w:rsidP="00472E91">
      <w:pPr>
        <w:pStyle w:val="ListNumber2"/>
        <w:numPr>
          <w:ilvl w:val="0"/>
          <w:numId w:val="0"/>
        </w:numPr>
        <w:rPr>
          <w:rFonts w:ascii="Arial" w:hAnsi="Arial" w:cs="Arial"/>
        </w:rPr>
      </w:pPr>
      <w:r>
        <w:rPr>
          <w:rFonts w:ascii="Arial" w:hAnsi="Arial" w:cs="Arial"/>
        </w:rPr>
        <w:t>6</w:t>
      </w:r>
      <w:r w:rsidR="00CD02A5">
        <w:rPr>
          <w:rFonts w:ascii="Arial" w:hAnsi="Arial" w:cs="Arial"/>
        </w:rPr>
        <w:t xml:space="preserve">.2 </w:t>
      </w:r>
      <w:r w:rsidR="00472E91">
        <w:rPr>
          <w:rFonts w:ascii="Arial" w:hAnsi="Arial" w:cs="Arial"/>
        </w:rPr>
        <w:t>In Q1, the Medical Examiner SOP was agreed and ratified at Trust-Wide Patient Safety and Mortality Review Group, guidance on the process has also been added to Resilience Direct for on call managers. Guidance will also be added to the doctor on call pack.</w:t>
      </w:r>
    </w:p>
    <w:p w14:paraId="0D02FA55" w14:textId="464A4F78" w:rsidR="00472E91" w:rsidRDefault="00472E91" w:rsidP="00472E91">
      <w:pPr>
        <w:pStyle w:val="ListNumber2"/>
        <w:numPr>
          <w:ilvl w:val="0"/>
          <w:numId w:val="0"/>
        </w:numPr>
        <w:rPr>
          <w:rFonts w:ascii="Arial" w:hAnsi="Arial" w:cs="Arial"/>
        </w:rPr>
      </w:pPr>
    </w:p>
    <w:p w14:paraId="2BD7781A" w14:textId="36071991" w:rsidR="00472E91" w:rsidRPr="00DB129A" w:rsidRDefault="0001150F" w:rsidP="00472E91">
      <w:pPr>
        <w:pStyle w:val="ListNumber2"/>
        <w:numPr>
          <w:ilvl w:val="0"/>
          <w:numId w:val="0"/>
        </w:numPr>
        <w:rPr>
          <w:rFonts w:ascii="Arial" w:hAnsi="Arial" w:cs="Arial"/>
        </w:rPr>
      </w:pPr>
      <w:r>
        <w:rPr>
          <w:rFonts w:ascii="Arial" w:hAnsi="Arial" w:cs="Arial"/>
        </w:rPr>
        <w:t>6</w:t>
      </w:r>
      <w:r w:rsidR="00CD02A5">
        <w:rPr>
          <w:rFonts w:ascii="Arial" w:hAnsi="Arial" w:cs="Arial"/>
        </w:rPr>
        <w:t xml:space="preserve">.3 </w:t>
      </w:r>
      <w:r w:rsidR="00472E91">
        <w:rPr>
          <w:rFonts w:ascii="Arial" w:hAnsi="Arial" w:cs="Arial"/>
        </w:rPr>
        <w:t xml:space="preserve">In Q1, Medical Examiner offices confirmed they are willing to work with the </w:t>
      </w:r>
      <w:r w:rsidR="00480E5D">
        <w:rPr>
          <w:rFonts w:ascii="Arial" w:hAnsi="Arial" w:cs="Arial"/>
        </w:rPr>
        <w:t>Tr</w:t>
      </w:r>
      <w:r w:rsidR="00472E91">
        <w:rPr>
          <w:rFonts w:ascii="Arial" w:hAnsi="Arial" w:cs="Arial"/>
        </w:rPr>
        <w:t>ust in sharing Medical Examiner summaries, when information is required to aid decision making. This includes where a cause of death might be required, or where learning has been identified.</w:t>
      </w:r>
    </w:p>
    <w:p w14:paraId="79B8DE54" w14:textId="6E661EB6" w:rsidR="005368B2" w:rsidRPr="00DB129A" w:rsidRDefault="005368B2" w:rsidP="001B20B1">
      <w:pPr>
        <w:pStyle w:val="ListNumber2"/>
        <w:numPr>
          <w:ilvl w:val="0"/>
          <w:numId w:val="0"/>
        </w:numPr>
        <w:rPr>
          <w:rFonts w:ascii="Arial" w:hAnsi="Arial" w:cs="Arial"/>
        </w:rPr>
      </w:pPr>
    </w:p>
    <w:sectPr w:rsidR="005368B2" w:rsidRPr="00DB129A" w:rsidSect="00BD6716">
      <w:headerReference w:type="default" r:id="rId26"/>
      <w:footerReference w:type="default" r:id="rId2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A4D63" w14:textId="77777777" w:rsidR="008B7E58" w:rsidRDefault="008B7E58" w:rsidP="002E7C88">
      <w:pPr>
        <w:spacing w:after="0" w:line="240" w:lineRule="auto"/>
      </w:pPr>
      <w:r>
        <w:separator/>
      </w:r>
    </w:p>
  </w:endnote>
  <w:endnote w:type="continuationSeparator" w:id="0">
    <w:p w14:paraId="104B50B6" w14:textId="77777777" w:rsidR="008B7E58" w:rsidRDefault="008B7E58" w:rsidP="002E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064635"/>
      <w:docPartObj>
        <w:docPartGallery w:val="Page Numbers (Bottom of Page)"/>
        <w:docPartUnique/>
      </w:docPartObj>
    </w:sdtPr>
    <w:sdtEndPr>
      <w:rPr>
        <w:noProof/>
      </w:rPr>
    </w:sdtEndPr>
    <w:sdtContent>
      <w:p w14:paraId="0352D8D5" w14:textId="77777777" w:rsidR="008B7E58" w:rsidRDefault="008B7E58">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C550446" w14:textId="77777777" w:rsidR="008B7E58" w:rsidRDefault="008B7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3C8C9" w14:textId="77777777" w:rsidR="008B7E58" w:rsidRDefault="008B7E58" w:rsidP="002E7C88">
      <w:pPr>
        <w:spacing w:after="0" w:line="240" w:lineRule="auto"/>
      </w:pPr>
      <w:r>
        <w:separator/>
      </w:r>
    </w:p>
  </w:footnote>
  <w:footnote w:type="continuationSeparator" w:id="0">
    <w:p w14:paraId="470E8B84" w14:textId="77777777" w:rsidR="008B7E58" w:rsidRDefault="008B7E58" w:rsidP="002E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3B7D" w14:textId="6448505F" w:rsidR="008B7E58" w:rsidRDefault="008B7E58">
    <w:pPr>
      <w:pStyle w:val="Header"/>
    </w:pPr>
    <w:r w:rsidRPr="006E688D">
      <w:rPr>
        <w:noProof/>
        <w:sz w:val="20"/>
        <w:lang w:eastAsia="en-GB"/>
      </w:rPr>
      <w:drawing>
        <wp:anchor distT="0" distB="0" distL="114300" distR="114300" simplePos="0" relativeHeight="251659264" behindDoc="0" locked="0" layoutInCell="1" allowOverlap="1" wp14:anchorId="0881E346" wp14:editId="14D9D149">
          <wp:simplePos x="0" y="0"/>
          <wp:positionH relativeFrom="column">
            <wp:posOffset>3482035</wp:posOffset>
          </wp:positionH>
          <wp:positionV relativeFrom="paragraph">
            <wp:posOffset>-227406</wp:posOffset>
          </wp:positionV>
          <wp:extent cx="2269067" cy="660400"/>
          <wp:effectExtent l="0" t="0" r="0" b="6350"/>
          <wp:wrapNone/>
          <wp:docPr id="6" name="Picture 6" descr="C:\Users\tracey.reeder\AppData\Local\Microsoft\Windows\Temporary Internet Files\Content.Outlook\TR9N3UOB\Kent and Medway NHS and Social Care Partnership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ey.reeder\AppData\Local\Microsoft\Windows\Temporary Internet Files\Content.Outlook\TR9N3UOB\Kent and Medway NHS and Social Care Partnership RGB BLU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804" b="24372"/>
                  <a:stretch/>
                </pic:blipFill>
                <pic:spPr bwMode="auto">
                  <a:xfrm>
                    <a:off x="0" y="0"/>
                    <a:ext cx="2269067" cy="6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35F539" w14:textId="77777777" w:rsidR="008B7E58" w:rsidRDefault="008B7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888CBC0"/>
    <w:lvl w:ilvl="0">
      <w:start w:val="1"/>
      <w:numFmt w:val="decimal"/>
      <w:pStyle w:val="ListNumber2"/>
      <w:lvlText w:val="%1."/>
      <w:lvlJc w:val="left"/>
      <w:pPr>
        <w:tabs>
          <w:tab w:val="num" w:pos="643"/>
        </w:tabs>
        <w:ind w:left="643" w:hanging="360"/>
      </w:pPr>
    </w:lvl>
  </w:abstractNum>
  <w:abstractNum w:abstractNumId="1" w15:restartNumberingAfterBreak="0">
    <w:nsid w:val="02231AEF"/>
    <w:multiLevelType w:val="hybridMultilevel"/>
    <w:tmpl w:val="D28E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624FA"/>
    <w:multiLevelType w:val="multilevel"/>
    <w:tmpl w:val="DC6461EA"/>
    <w:lvl w:ilvl="0">
      <w:start w:val="1"/>
      <w:numFmt w:val="decimal"/>
      <w:lvlText w:val="%1."/>
      <w:lvlJc w:val="left"/>
      <w:pPr>
        <w:ind w:left="720" w:hanging="360"/>
      </w:pPr>
      <w:rPr>
        <w:rFonts w:ascii="Arial" w:eastAsiaTheme="minorHAnsi" w:hAnsi="Arial" w:cs="Arial"/>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D23853"/>
    <w:multiLevelType w:val="hybridMultilevel"/>
    <w:tmpl w:val="E66A2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21678"/>
    <w:multiLevelType w:val="multilevel"/>
    <w:tmpl w:val="66EE0FA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BF5445"/>
    <w:multiLevelType w:val="hybridMultilevel"/>
    <w:tmpl w:val="4846FB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F32A1"/>
    <w:multiLevelType w:val="multilevel"/>
    <w:tmpl w:val="F33CEA2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A97ADC"/>
    <w:multiLevelType w:val="hybridMultilevel"/>
    <w:tmpl w:val="5D50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341BF"/>
    <w:multiLevelType w:val="hybridMultilevel"/>
    <w:tmpl w:val="FA8C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16CD3"/>
    <w:multiLevelType w:val="hybridMultilevel"/>
    <w:tmpl w:val="F9469A7C"/>
    <w:lvl w:ilvl="0" w:tplc="54A0EF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1F4F"/>
    <w:multiLevelType w:val="multilevel"/>
    <w:tmpl w:val="BC3CF3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17D04"/>
    <w:multiLevelType w:val="hybridMultilevel"/>
    <w:tmpl w:val="131E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87883"/>
    <w:multiLevelType w:val="hybridMultilevel"/>
    <w:tmpl w:val="F3661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5F7202C"/>
    <w:multiLevelType w:val="hybridMultilevel"/>
    <w:tmpl w:val="058633E2"/>
    <w:lvl w:ilvl="0" w:tplc="F056D958">
      <w:start w:val="1"/>
      <w:numFmt w:val="bullet"/>
      <w:lvlText w:val="•"/>
      <w:lvlJc w:val="left"/>
      <w:pPr>
        <w:tabs>
          <w:tab w:val="num" w:pos="720"/>
        </w:tabs>
        <w:ind w:left="720" w:hanging="360"/>
      </w:pPr>
      <w:rPr>
        <w:rFonts w:ascii="Arial" w:hAnsi="Arial" w:hint="default"/>
      </w:rPr>
    </w:lvl>
    <w:lvl w:ilvl="1" w:tplc="9E360720" w:tentative="1">
      <w:start w:val="1"/>
      <w:numFmt w:val="bullet"/>
      <w:lvlText w:val="•"/>
      <w:lvlJc w:val="left"/>
      <w:pPr>
        <w:tabs>
          <w:tab w:val="num" w:pos="1440"/>
        </w:tabs>
        <w:ind w:left="1440" w:hanging="360"/>
      </w:pPr>
      <w:rPr>
        <w:rFonts w:ascii="Arial" w:hAnsi="Arial" w:hint="default"/>
      </w:rPr>
    </w:lvl>
    <w:lvl w:ilvl="2" w:tplc="BB3C7690" w:tentative="1">
      <w:start w:val="1"/>
      <w:numFmt w:val="bullet"/>
      <w:lvlText w:val="•"/>
      <w:lvlJc w:val="left"/>
      <w:pPr>
        <w:tabs>
          <w:tab w:val="num" w:pos="2160"/>
        </w:tabs>
        <w:ind w:left="2160" w:hanging="360"/>
      </w:pPr>
      <w:rPr>
        <w:rFonts w:ascii="Arial" w:hAnsi="Arial" w:hint="default"/>
      </w:rPr>
    </w:lvl>
    <w:lvl w:ilvl="3" w:tplc="E2602FA6" w:tentative="1">
      <w:start w:val="1"/>
      <w:numFmt w:val="bullet"/>
      <w:lvlText w:val="•"/>
      <w:lvlJc w:val="left"/>
      <w:pPr>
        <w:tabs>
          <w:tab w:val="num" w:pos="2880"/>
        </w:tabs>
        <w:ind w:left="2880" w:hanging="360"/>
      </w:pPr>
      <w:rPr>
        <w:rFonts w:ascii="Arial" w:hAnsi="Arial" w:hint="default"/>
      </w:rPr>
    </w:lvl>
    <w:lvl w:ilvl="4" w:tplc="3E6E5B1E" w:tentative="1">
      <w:start w:val="1"/>
      <w:numFmt w:val="bullet"/>
      <w:lvlText w:val="•"/>
      <w:lvlJc w:val="left"/>
      <w:pPr>
        <w:tabs>
          <w:tab w:val="num" w:pos="3600"/>
        </w:tabs>
        <w:ind w:left="3600" w:hanging="360"/>
      </w:pPr>
      <w:rPr>
        <w:rFonts w:ascii="Arial" w:hAnsi="Arial" w:hint="default"/>
      </w:rPr>
    </w:lvl>
    <w:lvl w:ilvl="5" w:tplc="E44831E6" w:tentative="1">
      <w:start w:val="1"/>
      <w:numFmt w:val="bullet"/>
      <w:lvlText w:val="•"/>
      <w:lvlJc w:val="left"/>
      <w:pPr>
        <w:tabs>
          <w:tab w:val="num" w:pos="4320"/>
        </w:tabs>
        <w:ind w:left="4320" w:hanging="360"/>
      </w:pPr>
      <w:rPr>
        <w:rFonts w:ascii="Arial" w:hAnsi="Arial" w:hint="default"/>
      </w:rPr>
    </w:lvl>
    <w:lvl w:ilvl="6" w:tplc="AFDE6E86" w:tentative="1">
      <w:start w:val="1"/>
      <w:numFmt w:val="bullet"/>
      <w:lvlText w:val="•"/>
      <w:lvlJc w:val="left"/>
      <w:pPr>
        <w:tabs>
          <w:tab w:val="num" w:pos="5040"/>
        </w:tabs>
        <w:ind w:left="5040" w:hanging="360"/>
      </w:pPr>
      <w:rPr>
        <w:rFonts w:ascii="Arial" w:hAnsi="Arial" w:hint="default"/>
      </w:rPr>
    </w:lvl>
    <w:lvl w:ilvl="7" w:tplc="9B708ABC" w:tentative="1">
      <w:start w:val="1"/>
      <w:numFmt w:val="bullet"/>
      <w:lvlText w:val="•"/>
      <w:lvlJc w:val="left"/>
      <w:pPr>
        <w:tabs>
          <w:tab w:val="num" w:pos="5760"/>
        </w:tabs>
        <w:ind w:left="5760" w:hanging="360"/>
      </w:pPr>
      <w:rPr>
        <w:rFonts w:ascii="Arial" w:hAnsi="Arial" w:hint="default"/>
      </w:rPr>
    </w:lvl>
    <w:lvl w:ilvl="8" w:tplc="D458C6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234712"/>
    <w:multiLevelType w:val="hybridMultilevel"/>
    <w:tmpl w:val="7602A8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52574"/>
    <w:multiLevelType w:val="hybridMultilevel"/>
    <w:tmpl w:val="EDC2C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F7752"/>
    <w:multiLevelType w:val="hybridMultilevel"/>
    <w:tmpl w:val="9D8C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F3D62"/>
    <w:multiLevelType w:val="hybridMultilevel"/>
    <w:tmpl w:val="11F2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7C0612"/>
    <w:multiLevelType w:val="hybridMultilevel"/>
    <w:tmpl w:val="D9D0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922F0"/>
    <w:multiLevelType w:val="hybridMultilevel"/>
    <w:tmpl w:val="23E45D7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C2121"/>
    <w:multiLevelType w:val="hybridMultilevel"/>
    <w:tmpl w:val="4D867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93D3E"/>
    <w:multiLevelType w:val="hybridMultilevel"/>
    <w:tmpl w:val="451A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D3E0C"/>
    <w:multiLevelType w:val="hybridMultilevel"/>
    <w:tmpl w:val="F0569500"/>
    <w:lvl w:ilvl="0" w:tplc="AA506E2A">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9809EB"/>
    <w:multiLevelType w:val="hybridMultilevel"/>
    <w:tmpl w:val="5FA0032E"/>
    <w:lvl w:ilvl="0" w:tplc="12827086">
      <w:start w:val="2"/>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8F67DB"/>
    <w:multiLevelType w:val="multilevel"/>
    <w:tmpl w:val="BF92BF6E"/>
    <w:lvl w:ilvl="0">
      <w:start w:val="1"/>
      <w:numFmt w:val="decimal"/>
      <w:lvlText w:val="%1."/>
      <w:lvlJc w:val="left"/>
      <w:pPr>
        <w:ind w:left="720" w:hanging="360"/>
      </w:pPr>
      <w:rPr>
        <w:rFonts w:ascii="Arial" w:eastAsiaTheme="minorHAnsi" w:hAnsi="Arial" w:cs="Arial"/>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9D7785E"/>
    <w:multiLevelType w:val="hybridMultilevel"/>
    <w:tmpl w:val="28EC49C8"/>
    <w:lvl w:ilvl="0" w:tplc="CE064DD6">
      <w:start w:val="1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35C68"/>
    <w:multiLevelType w:val="multilevel"/>
    <w:tmpl w:val="93AEF1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251DCE"/>
    <w:multiLevelType w:val="hybridMultilevel"/>
    <w:tmpl w:val="454E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0960A3"/>
    <w:multiLevelType w:val="hybridMultilevel"/>
    <w:tmpl w:val="24FC4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28A1"/>
    <w:multiLevelType w:val="multilevel"/>
    <w:tmpl w:val="FAD67C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602124"/>
    <w:multiLevelType w:val="hybridMultilevel"/>
    <w:tmpl w:val="4346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146BB"/>
    <w:multiLevelType w:val="hybridMultilevel"/>
    <w:tmpl w:val="5E9E60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10A46"/>
    <w:multiLevelType w:val="multilevel"/>
    <w:tmpl w:val="8CF4CD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8653BF"/>
    <w:multiLevelType w:val="hybridMultilevel"/>
    <w:tmpl w:val="2064DD18"/>
    <w:lvl w:ilvl="0" w:tplc="A482A27C">
      <w:start w:val="1"/>
      <w:numFmt w:val="bullet"/>
      <w:lvlText w:val="•"/>
      <w:lvlJc w:val="left"/>
      <w:pPr>
        <w:tabs>
          <w:tab w:val="num" w:pos="720"/>
        </w:tabs>
        <w:ind w:left="720" w:hanging="360"/>
      </w:pPr>
      <w:rPr>
        <w:rFonts w:ascii="Arial" w:hAnsi="Arial" w:hint="default"/>
      </w:rPr>
    </w:lvl>
    <w:lvl w:ilvl="1" w:tplc="FECA2760" w:tentative="1">
      <w:start w:val="1"/>
      <w:numFmt w:val="bullet"/>
      <w:lvlText w:val="•"/>
      <w:lvlJc w:val="left"/>
      <w:pPr>
        <w:tabs>
          <w:tab w:val="num" w:pos="1440"/>
        </w:tabs>
        <w:ind w:left="1440" w:hanging="360"/>
      </w:pPr>
      <w:rPr>
        <w:rFonts w:ascii="Arial" w:hAnsi="Arial" w:hint="default"/>
      </w:rPr>
    </w:lvl>
    <w:lvl w:ilvl="2" w:tplc="E0C6CAEA" w:tentative="1">
      <w:start w:val="1"/>
      <w:numFmt w:val="bullet"/>
      <w:lvlText w:val="•"/>
      <w:lvlJc w:val="left"/>
      <w:pPr>
        <w:tabs>
          <w:tab w:val="num" w:pos="2160"/>
        </w:tabs>
        <w:ind w:left="2160" w:hanging="360"/>
      </w:pPr>
      <w:rPr>
        <w:rFonts w:ascii="Arial" w:hAnsi="Arial" w:hint="default"/>
      </w:rPr>
    </w:lvl>
    <w:lvl w:ilvl="3" w:tplc="0A246E5C" w:tentative="1">
      <w:start w:val="1"/>
      <w:numFmt w:val="bullet"/>
      <w:lvlText w:val="•"/>
      <w:lvlJc w:val="left"/>
      <w:pPr>
        <w:tabs>
          <w:tab w:val="num" w:pos="2880"/>
        </w:tabs>
        <w:ind w:left="2880" w:hanging="360"/>
      </w:pPr>
      <w:rPr>
        <w:rFonts w:ascii="Arial" w:hAnsi="Arial" w:hint="default"/>
      </w:rPr>
    </w:lvl>
    <w:lvl w:ilvl="4" w:tplc="4D56420E" w:tentative="1">
      <w:start w:val="1"/>
      <w:numFmt w:val="bullet"/>
      <w:lvlText w:val="•"/>
      <w:lvlJc w:val="left"/>
      <w:pPr>
        <w:tabs>
          <w:tab w:val="num" w:pos="3600"/>
        </w:tabs>
        <w:ind w:left="3600" w:hanging="360"/>
      </w:pPr>
      <w:rPr>
        <w:rFonts w:ascii="Arial" w:hAnsi="Arial" w:hint="default"/>
      </w:rPr>
    </w:lvl>
    <w:lvl w:ilvl="5" w:tplc="77625DB6" w:tentative="1">
      <w:start w:val="1"/>
      <w:numFmt w:val="bullet"/>
      <w:lvlText w:val="•"/>
      <w:lvlJc w:val="left"/>
      <w:pPr>
        <w:tabs>
          <w:tab w:val="num" w:pos="4320"/>
        </w:tabs>
        <w:ind w:left="4320" w:hanging="360"/>
      </w:pPr>
      <w:rPr>
        <w:rFonts w:ascii="Arial" w:hAnsi="Arial" w:hint="default"/>
      </w:rPr>
    </w:lvl>
    <w:lvl w:ilvl="6" w:tplc="6636B7A2" w:tentative="1">
      <w:start w:val="1"/>
      <w:numFmt w:val="bullet"/>
      <w:lvlText w:val="•"/>
      <w:lvlJc w:val="left"/>
      <w:pPr>
        <w:tabs>
          <w:tab w:val="num" w:pos="5040"/>
        </w:tabs>
        <w:ind w:left="5040" w:hanging="360"/>
      </w:pPr>
      <w:rPr>
        <w:rFonts w:ascii="Arial" w:hAnsi="Arial" w:hint="default"/>
      </w:rPr>
    </w:lvl>
    <w:lvl w:ilvl="7" w:tplc="64A6C70E" w:tentative="1">
      <w:start w:val="1"/>
      <w:numFmt w:val="bullet"/>
      <w:lvlText w:val="•"/>
      <w:lvlJc w:val="left"/>
      <w:pPr>
        <w:tabs>
          <w:tab w:val="num" w:pos="5760"/>
        </w:tabs>
        <w:ind w:left="5760" w:hanging="360"/>
      </w:pPr>
      <w:rPr>
        <w:rFonts w:ascii="Arial" w:hAnsi="Arial" w:hint="default"/>
      </w:rPr>
    </w:lvl>
    <w:lvl w:ilvl="8" w:tplc="FA8668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0673EB"/>
    <w:multiLevelType w:val="hybridMultilevel"/>
    <w:tmpl w:val="88CE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290F76"/>
    <w:multiLevelType w:val="hybridMultilevel"/>
    <w:tmpl w:val="B92C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B3FB6"/>
    <w:multiLevelType w:val="multilevel"/>
    <w:tmpl w:val="79925CF8"/>
    <w:lvl w:ilvl="0">
      <w:start w:val="6"/>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567FC4"/>
    <w:multiLevelType w:val="multilevel"/>
    <w:tmpl w:val="FD041BF0"/>
    <w:lvl w:ilvl="0">
      <w:start w:val="1"/>
      <w:numFmt w:val="decimal"/>
      <w:lvlText w:val="%1."/>
      <w:lvlJc w:val="left"/>
      <w:pPr>
        <w:ind w:left="720" w:hanging="360"/>
      </w:pPr>
      <w:rPr>
        <w:rFonts w:ascii="Arial" w:eastAsiaTheme="minorHAnsi" w:hAnsi="Arial" w:cs="Arial"/>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FF0C0B"/>
    <w:multiLevelType w:val="multilevel"/>
    <w:tmpl w:val="143EE588"/>
    <w:lvl w:ilvl="0">
      <w:start w:val="1"/>
      <w:numFmt w:val="decimal"/>
      <w:lvlText w:val="%1."/>
      <w:lvlJc w:val="left"/>
      <w:pPr>
        <w:ind w:left="720" w:hanging="360"/>
      </w:pPr>
      <w:rPr>
        <w:rFonts w:ascii="Arial" w:eastAsiaTheme="minorHAnsi" w:hAnsi="Arial" w:cs="Arial"/>
      </w:rPr>
    </w:lvl>
    <w:lvl w:ilvl="1">
      <w:start w:val="6"/>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7350C5"/>
    <w:multiLevelType w:val="hybridMultilevel"/>
    <w:tmpl w:val="F904B6F6"/>
    <w:lvl w:ilvl="0" w:tplc="6446698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B00A77"/>
    <w:multiLevelType w:val="hybridMultilevel"/>
    <w:tmpl w:val="7206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93030"/>
    <w:multiLevelType w:val="hybridMultilevel"/>
    <w:tmpl w:val="3908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6"/>
  </w:num>
  <w:num w:numId="4">
    <w:abstractNumId w:val="8"/>
  </w:num>
  <w:num w:numId="5">
    <w:abstractNumId w:val="5"/>
  </w:num>
  <w:num w:numId="6">
    <w:abstractNumId w:val="31"/>
  </w:num>
  <w:num w:numId="7">
    <w:abstractNumId w:val="20"/>
  </w:num>
  <w:num w:numId="8">
    <w:abstractNumId w:val="14"/>
  </w:num>
  <w:num w:numId="9">
    <w:abstractNumId w:val="17"/>
  </w:num>
  <w:num w:numId="10">
    <w:abstractNumId w:val="29"/>
  </w:num>
  <w:num w:numId="11">
    <w:abstractNumId w:val="6"/>
  </w:num>
  <w:num w:numId="12">
    <w:abstractNumId w:val="9"/>
  </w:num>
  <w:num w:numId="13">
    <w:abstractNumId w:val="12"/>
  </w:num>
  <w:num w:numId="14">
    <w:abstractNumId w:val="13"/>
  </w:num>
  <w:num w:numId="15">
    <w:abstractNumId w:val="15"/>
  </w:num>
  <w:num w:numId="16">
    <w:abstractNumId w:val="33"/>
  </w:num>
  <w:num w:numId="17">
    <w:abstractNumId w:val="28"/>
  </w:num>
  <w:num w:numId="18">
    <w:abstractNumId w:val="18"/>
  </w:num>
  <w:num w:numId="19">
    <w:abstractNumId w:val="21"/>
  </w:num>
  <w:num w:numId="20">
    <w:abstractNumId w:val="17"/>
  </w:num>
  <w:num w:numId="21">
    <w:abstractNumId w:val="7"/>
  </w:num>
  <w:num w:numId="22">
    <w:abstractNumId w:val="41"/>
  </w:num>
  <w:num w:numId="23">
    <w:abstractNumId w:val="19"/>
  </w:num>
  <w:num w:numId="24">
    <w:abstractNumId w:val="35"/>
  </w:num>
  <w:num w:numId="25">
    <w:abstractNumId w:val="27"/>
  </w:num>
  <w:num w:numId="26">
    <w:abstractNumId w:val="30"/>
  </w:num>
  <w:num w:numId="27">
    <w:abstractNumId w:val="34"/>
  </w:num>
  <w:num w:numId="28">
    <w:abstractNumId w:val="3"/>
  </w:num>
  <w:num w:numId="29">
    <w:abstractNumId w:val="22"/>
  </w:num>
  <w:num w:numId="30">
    <w:abstractNumId w:val="25"/>
  </w:num>
  <w:num w:numId="31">
    <w:abstractNumId w:val="2"/>
  </w:num>
  <w:num w:numId="32">
    <w:abstractNumId w:val="24"/>
  </w:num>
  <w:num w:numId="33">
    <w:abstractNumId w:val="38"/>
  </w:num>
  <w:num w:numId="34">
    <w:abstractNumId w:val="37"/>
  </w:num>
  <w:num w:numId="35">
    <w:abstractNumId w:val="40"/>
  </w:num>
  <w:num w:numId="36">
    <w:abstractNumId w:val="11"/>
  </w:num>
  <w:num w:numId="37">
    <w:abstractNumId w:val="16"/>
  </w:num>
  <w:num w:numId="38">
    <w:abstractNumId w:val="26"/>
  </w:num>
  <w:num w:numId="39">
    <w:abstractNumId w:val="10"/>
  </w:num>
  <w:num w:numId="40">
    <w:abstractNumId w:val="4"/>
  </w:num>
  <w:num w:numId="41">
    <w:abstractNumId w:val="32"/>
  </w:num>
  <w:num w:numId="42">
    <w:abstractNumId w:val="39"/>
  </w:num>
  <w:num w:numId="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16"/>
    <w:rsid w:val="000000F8"/>
    <w:rsid w:val="00000E3A"/>
    <w:rsid w:val="000020DD"/>
    <w:rsid w:val="00002608"/>
    <w:rsid w:val="0000263B"/>
    <w:rsid w:val="00002BDE"/>
    <w:rsid w:val="00002CDE"/>
    <w:rsid w:val="000041CC"/>
    <w:rsid w:val="00004B9C"/>
    <w:rsid w:val="0001150F"/>
    <w:rsid w:val="00024EDE"/>
    <w:rsid w:val="00027932"/>
    <w:rsid w:val="00027FFD"/>
    <w:rsid w:val="00030627"/>
    <w:rsid w:val="000322C0"/>
    <w:rsid w:val="0003241C"/>
    <w:rsid w:val="00033380"/>
    <w:rsid w:val="00034A7B"/>
    <w:rsid w:val="00037CD6"/>
    <w:rsid w:val="00042E3D"/>
    <w:rsid w:val="00045F06"/>
    <w:rsid w:val="000470AB"/>
    <w:rsid w:val="000506AC"/>
    <w:rsid w:val="00052D3A"/>
    <w:rsid w:val="00056601"/>
    <w:rsid w:val="00057EDC"/>
    <w:rsid w:val="000603AB"/>
    <w:rsid w:val="000718BF"/>
    <w:rsid w:val="00071D9C"/>
    <w:rsid w:val="000725DC"/>
    <w:rsid w:val="000774F6"/>
    <w:rsid w:val="000828EE"/>
    <w:rsid w:val="000829AC"/>
    <w:rsid w:val="0008396E"/>
    <w:rsid w:val="0008554A"/>
    <w:rsid w:val="00085F2D"/>
    <w:rsid w:val="00086059"/>
    <w:rsid w:val="000902FC"/>
    <w:rsid w:val="000951D1"/>
    <w:rsid w:val="00095BCC"/>
    <w:rsid w:val="000A0E55"/>
    <w:rsid w:val="000A6313"/>
    <w:rsid w:val="000B0A3E"/>
    <w:rsid w:val="000B217F"/>
    <w:rsid w:val="000B3227"/>
    <w:rsid w:val="000B3B7F"/>
    <w:rsid w:val="000B535C"/>
    <w:rsid w:val="000B7909"/>
    <w:rsid w:val="000B7E47"/>
    <w:rsid w:val="000C15C4"/>
    <w:rsid w:val="000C1ACD"/>
    <w:rsid w:val="000C4FF4"/>
    <w:rsid w:val="000C5560"/>
    <w:rsid w:val="000C724F"/>
    <w:rsid w:val="000D65D6"/>
    <w:rsid w:val="000D6F58"/>
    <w:rsid w:val="000E0B98"/>
    <w:rsid w:val="000E2BC5"/>
    <w:rsid w:val="000E478C"/>
    <w:rsid w:val="000E62AD"/>
    <w:rsid w:val="000E70FA"/>
    <w:rsid w:val="000F00D5"/>
    <w:rsid w:val="000F1066"/>
    <w:rsid w:val="000F40B2"/>
    <w:rsid w:val="000F6CB8"/>
    <w:rsid w:val="00102B7B"/>
    <w:rsid w:val="00107B5B"/>
    <w:rsid w:val="00111AE2"/>
    <w:rsid w:val="00112400"/>
    <w:rsid w:val="00112B44"/>
    <w:rsid w:val="00113886"/>
    <w:rsid w:val="001167A4"/>
    <w:rsid w:val="0011793E"/>
    <w:rsid w:val="00120A9A"/>
    <w:rsid w:val="00121EEE"/>
    <w:rsid w:val="0012464C"/>
    <w:rsid w:val="001266D9"/>
    <w:rsid w:val="0013013C"/>
    <w:rsid w:val="00131B7F"/>
    <w:rsid w:val="00155507"/>
    <w:rsid w:val="00155661"/>
    <w:rsid w:val="00156CA2"/>
    <w:rsid w:val="00157695"/>
    <w:rsid w:val="001623E4"/>
    <w:rsid w:val="001636A1"/>
    <w:rsid w:val="00165030"/>
    <w:rsid w:val="00166906"/>
    <w:rsid w:val="001673AA"/>
    <w:rsid w:val="00170194"/>
    <w:rsid w:val="0017292C"/>
    <w:rsid w:val="00173E09"/>
    <w:rsid w:val="001755A4"/>
    <w:rsid w:val="001761FA"/>
    <w:rsid w:val="00182284"/>
    <w:rsid w:val="00183D2C"/>
    <w:rsid w:val="0018538F"/>
    <w:rsid w:val="001932AD"/>
    <w:rsid w:val="001939F0"/>
    <w:rsid w:val="0019469A"/>
    <w:rsid w:val="00194B34"/>
    <w:rsid w:val="00195AAA"/>
    <w:rsid w:val="00195C62"/>
    <w:rsid w:val="001A1AD3"/>
    <w:rsid w:val="001A267A"/>
    <w:rsid w:val="001A2976"/>
    <w:rsid w:val="001A668E"/>
    <w:rsid w:val="001B1C01"/>
    <w:rsid w:val="001B20B1"/>
    <w:rsid w:val="001B26B2"/>
    <w:rsid w:val="001B588B"/>
    <w:rsid w:val="001B5D86"/>
    <w:rsid w:val="001C0014"/>
    <w:rsid w:val="001C05FC"/>
    <w:rsid w:val="001C2588"/>
    <w:rsid w:val="001C280D"/>
    <w:rsid w:val="001C3944"/>
    <w:rsid w:val="001C6FDB"/>
    <w:rsid w:val="001D0E10"/>
    <w:rsid w:val="001D15CE"/>
    <w:rsid w:val="001D1D90"/>
    <w:rsid w:val="001D44CF"/>
    <w:rsid w:val="001D598B"/>
    <w:rsid w:val="001E496A"/>
    <w:rsid w:val="001E50F9"/>
    <w:rsid w:val="001E607F"/>
    <w:rsid w:val="001E7BF2"/>
    <w:rsid w:val="001F1B74"/>
    <w:rsid w:val="001F4624"/>
    <w:rsid w:val="001F5325"/>
    <w:rsid w:val="001F6831"/>
    <w:rsid w:val="001F708B"/>
    <w:rsid w:val="001F746D"/>
    <w:rsid w:val="00201641"/>
    <w:rsid w:val="00204119"/>
    <w:rsid w:val="00207909"/>
    <w:rsid w:val="00207D91"/>
    <w:rsid w:val="00210FD8"/>
    <w:rsid w:val="00214882"/>
    <w:rsid w:val="0021510E"/>
    <w:rsid w:val="0022093E"/>
    <w:rsid w:val="00225FD4"/>
    <w:rsid w:val="00232770"/>
    <w:rsid w:val="002335D2"/>
    <w:rsid w:val="00233EA2"/>
    <w:rsid w:val="002371EC"/>
    <w:rsid w:val="0024180C"/>
    <w:rsid w:val="002418D9"/>
    <w:rsid w:val="0024248C"/>
    <w:rsid w:val="00243ABB"/>
    <w:rsid w:val="00245008"/>
    <w:rsid w:val="002452FB"/>
    <w:rsid w:val="00246A94"/>
    <w:rsid w:val="0024785B"/>
    <w:rsid w:val="002537BB"/>
    <w:rsid w:val="00253EE5"/>
    <w:rsid w:val="00256E84"/>
    <w:rsid w:val="002573FD"/>
    <w:rsid w:val="0026189C"/>
    <w:rsid w:val="00261ACE"/>
    <w:rsid w:val="00262B05"/>
    <w:rsid w:val="0026531D"/>
    <w:rsid w:val="00265C6E"/>
    <w:rsid w:val="00266E5D"/>
    <w:rsid w:val="002750AE"/>
    <w:rsid w:val="002803CA"/>
    <w:rsid w:val="002858D0"/>
    <w:rsid w:val="002A388B"/>
    <w:rsid w:val="002A5807"/>
    <w:rsid w:val="002A597C"/>
    <w:rsid w:val="002A7448"/>
    <w:rsid w:val="002B0BA5"/>
    <w:rsid w:val="002B5433"/>
    <w:rsid w:val="002B763A"/>
    <w:rsid w:val="002C1D82"/>
    <w:rsid w:val="002C232C"/>
    <w:rsid w:val="002C3DE4"/>
    <w:rsid w:val="002D001C"/>
    <w:rsid w:val="002D3AED"/>
    <w:rsid w:val="002D3BA5"/>
    <w:rsid w:val="002D3F69"/>
    <w:rsid w:val="002D466C"/>
    <w:rsid w:val="002D7D44"/>
    <w:rsid w:val="002E2730"/>
    <w:rsid w:val="002E5942"/>
    <w:rsid w:val="002E7C88"/>
    <w:rsid w:val="002F7AAC"/>
    <w:rsid w:val="003021C1"/>
    <w:rsid w:val="0030395B"/>
    <w:rsid w:val="003049D5"/>
    <w:rsid w:val="00304FC1"/>
    <w:rsid w:val="00305B71"/>
    <w:rsid w:val="003075DB"/>
    <w:rsid w:val="0031499A"/>
    <w:rsid w:val="003215E7"/>
    <w:rsid w:val="00324934"/>
    <w:rsid w:val="00325BC7"/>
    <w:rsid w:val="00327BCD"/>
    <w:rsid w:val="00332F58"/>
    <w:rsid w:val="00334246"/>
    <w:rsid w:val="00334AC8"/>
    <w:rsid w:val="00334D5A"/>
    <w:rsid w:val="00340BCE"/>
    <w:rsid w:val="003416A0"/>
    <w:rsid w:val="0034301B"/>
    <w:rsid w:val="00345E6A"/>
    <w:rsid w:val="003509A8"/>
    <w:rsid w:val="00352D35"/>
    <w:rsid w:val="0035606D"/>
    <w:rsid w:val="00362125"/>
    <w:rsid w:val="00364948"/>
    <w:rsid w:val="003651E8"/>
    <w:rsid w:val="00365285"/>
    <w:rsid w:val="00365E77"/>
    <w:rsid w:val="0037456D"/>
    <w:rsid w:val="003748DE"/>
    <w:rsid w:val="00381C1B"/>
    <w:rsid w:val="003848A6"/>
    <w:rsid w:val="003874FD"/>
    <w:rsid w:val="00387AA3"/>
    <w:rsid w:val="00390554"/>
    <w:rsid w:val="00392D12"/>
    <w:rsid w:val="00392EFB"/>
    <w:rsid w:val="00393462"/>
    <w:rsid w:val="00396B92"/>
    <w:rsid w:val="003A0ED9"/>
    <w:rsid w:val="003A3700"/>
    <w:rsid w:val="003A78AB"/>
    <w:rsid w:val="003B1427"/>
    <w:rsid w:val="003B1EDF"/>
    <w:rsid w:val="003B3E37"/>
    <w:rsid w:val="003B45F2"/>
    <w:rsid w:val="003B5DF0"/>
    <w:rsid w:val="003C0431"/>
    <w:rsid w:val="003C111D"/>
    <w:rsid w:val="003C224A"/>
    <w:rsid w:val="003C2778"/>
    <w:rsid w:val="003C2B61"/>
    <w:rsid w:val="003D0E69"/>
    <w:rsid w:val="003D355F"/>
    <w:rsid w:val="003D5146"/>
    <w:rsid w:val="003D5E15"/>
    <w:rsid w:val="003D704D"/>
    <w:rsid w:val="003E012D"/>
    <w:rsid w:val="003E090A"/>
    <w:rsid w:val="003E2632"/>
    <w:rsid w:val="003E73FA"/>
    <w:rsid w:val="003F1A38"/>
    <w:rsid w:val="003F23E7"/>
    <w:rsid w:val="003F2F03"/>
    <w:rsid w:val="003F32DA"/>
    <w:rsid w:val="003F46D6"/>
    <w:rsid w:val="003F509D"/>
    <w:rsid w:val="003F6E0C"/>
    <w:rsid w:val="003F7B48"/>
    <w:rsid w:val="00400B4E"/>
    <w:rsid w:val="00403058"/>
    <w:rsid w:val="00406141"/>
    <w:rsid w:val="004068E8"/>
    <w:rsid w:val="00407F5E"/>
    <w:rsid w:val="00410DEB"/>
    <w:rsid w:val="004119CA"/>
    <w:rsid w:val="00412266"/>
    <w:rsid w:val="0041588E"/>
    <w:rsid w:val="00425917"/>
    <w:rsid w:val="00426896"/>
    <w:rsid w:val="0042755C"/>
    <w:rsid w:val="004334E3"/>
    <w:rsid w:val="00437C54"/>
    <w:rsid w:val="0044110A"/>
    <w:rsid w:val="00441EF2"/>
    <w:rsid w:val="004436CD"/>
    <w:rsid w:val="00443FCE"/>
    <w:rsid w:val="00445A42"/>
    <w:rsid w:val="00450A78"/>
    <w:rsid w:val="004513C3"/>
    <w:rsid w:val="00451A34"/>
    <w:rsid w:val="00454CAD"/>
    <w:rsid w:val="00455D31"/>
    <w:rsid w:val="0046029A"/>
    <w:rsid w:val="00460EB5"/>
    <w:rsid w:val="00461173"/>
    <w:rsid w:val="00464038"/>
    <w:rsid w:val="0046621E"/>
    <w:rsid w:val="00467060"/>
    <w:rsid w:val="00472381"/>
    <w:rsid w:val="00472E91"/>
    <w:rsid w:val="00473E6A"/>
    <w:rsid w:val="00474AC2"/>
    <w:rsid w:val="00477860"/>
    <w:rsid w:val="00480018"/>
    <w:rsid w:val="00480E5D"/>
    <w:rsid w:val="00483D02"/>
    <w:rsid w:val="00483E5E"/>
    <w:rsid w:val="004869B9"/>
    <w:rsid w:val="00486F24"/>
    <w:rsid w:val="004870FB"/>
    <w:rsid w:val="00487B00"/>
    <w:rsid w:val="00493639"/>
    <w:rsid w:val="00494E52"/>
    <w:rsid w:val="004964A2"/>
    <w:rsid w:val="004968B0"/>
    <w:rsid w:val="004B1EFD"/>
    <w:rsid w:val="004B4C68"/>
    <w:rsid w:val="004B598D"/>
    <w:rsid w:val="004B5BE9"/>
    <w:rsid w:val="004B5CCA"/>
    <w:rsid w:val="004B6075"/>
    <w:rsid w:val="004C1B2B"/>
    <w:rsid w:val="004D0FBB"/>
    <w:rsid w:val="004D230B"/>
    <w:rsid w:val="004D23D9"/>
    <w:rsid w:val="004D3402"/>
    <w:rsid w:val="004D70D2"/>
    <w:rsid w:val="004D7464"/>
    <w:rsid w:val="004E1688"/>
    <w:rsid w:val="004E1D9A"/>
    <w:rsid w:val="004E23EC"/>
    <w:rsid w:val="004E4E29"/>
    <w:rsid w:val="004E5A9E"/>
    <w:rsid w:val="004F03D4"/>
    <w:rsid w:val="004F168A"/>
    <w:rsid w:val="004F1EB1"/>
    <w:rsid w:val="004F2095"/>
    <w:rsid w:val="004F3B40"/>
    <w:rsid w:val="004F437D"/>
    <w:rsid w:val="004F47CD"/>
    <w:rsid w:val="004F4B13"/>
    <w:rsid w:val="0050177C"/>
    <w:rsid w:val="005017AE"/>
    <w:rsid w:val="00505427"/>
    <w:rsid w:val="0050568C"/>
    <w:rsid w:val="00506792"/>
    <w:rsid w:val="00507352"/>
    <w:rsid w:val="0051434E"/>
    <w:rsid w:val="00516E53"/>
    <w:rsid w:val="00517A96"/>
    <w:rsid w:val="005200E6"/>
    <w:rsid w:val="00521B6D"/>
    <w:rsid w:val="00521CB2"/>
    <w:rsid w:val="00523A42"/>
    <w:rsid w:val="00533592"/>
    <w:rsid w:val="00533B9D"/>
    <w:rsid w:val="00533DFB"/>
    <w:rsid w:val="005368B2"/>
    <w:rsid w:val="005405E1"/>
    <w:rsid w:val="00543929"/>
    <w:rsid w:val="00546292"/>
    <w:rsid w:val="00552937"/>
    <w:rsid w:val="00552C7E"/>
    <w:rsid w:val="005560F7"/>
    <w:rsid w:val="005577BD"/>
    <w:rsid w:val="0056157B"/>
    <w:rsid w:val="00565C68"/>
    <w:rsid w:val="00566BAB"/>
    <w:rsid w:val="00570FCC"/>
    <w:rsid w:val="00572568"/>
    <w:rsid w:val="00586755"/>
    <w:rsid w:val="00587479"/>
    <w:rsid w:val="00591A9B"/>
    <w:rsid w:val="00591F44"/>
    <w:rsid w:val="005A24CC"/>
    <w:rsid w:val="005A2A3F"/>
    <w:rsid w:val="005A69F9"/>
    <w:rsid w:val="005B03C6"/>
    <w:rsid w:val="005B1BF2"/>
    <w:rsid w:val="005B3B13"/>
    <w:rsid w:val="005B50BE"/>
    <w:rsid w:val="005C438B"/>
    <w:rsid w:val="005C77E2"/>
    <w:rsid w:val="005D1E0E"/>
    <w:rsid w:val="005D2283"/>
    <w:rsid w:val="005D7B78"/>
    <w:rsid w:val="005E4FF0"/>
    <w:rsid w:val="005E6CD4"/>
    <w:rsid w:val="005F2070"/>
    <w:rsid w:val="005F261A"/>
    <w:rsid w:val="005F2D34"/>
    <w:rsid w:val="005F566D"/>
    <w:rsid w:val="005F5CB4"/>
    <w:rsid w:val="005F7308"/>
    <w:rsid w:val="00600F41"/>
    <w:rsid w:val="00601C02"/>
    <w:rsid w:val="00602CB4"/>
    <w:rsid w:val="00604A68"/>
    <w:rsid w:val="00604B3D"/>
    <w:rsid w:val="00606986"/>
    <w:rsid w:val="00610542"/>
    <w:rsid w:val="00611636"/>
    <w:rsid w:val="00611745"/>
    <w:rsid w:val="00611E75"/>
    <w:rsid w:val="0061788D"/>
    <w:rsid w:val="00617BB0"/>
    <w:rsid w:val="00620C06"/>
    <w:rsid w:val="00620D40"/>
    <w:rsid w:val="00622040"/>
    <w:rsid w:val="00624B78"/>
    <w:rsid w:val="00632269"/>
    <w:rsid w:val="00634ECB"/>
    <w:rsid w:val="0063536C"/>
    <w:rsid w:val="00635FF2"/>
    <w:rsid w:val="00650A0D"/>
    <w:rsid w:val="0065323E"/>
    <w:rsid w:val="0065449A"/>
    <w:rsid w:val="00655A1D"/>
    <w:rsid w:val="00655EB0"/>
    <w:rsid w:val="00656DC5"/>
    <w:rsid w:val="00660A2B"/>
    <w:rsid w:val="0066446D"/>
    <w:rsid w:val="00667CF4"/>
    <w:rsid w:val="00670FFC"/>
    <w:rsid w:val="006725F1"/>
    <w:rsid w:val="00672A31"/>
    <w:rsid w:val="00672E74"/>
    <w:rsid w:val="00677796"/>
    <w:rsid w:val="00680367"/>
    <w:rsid w:val="0068128B"/>
    <w:rsid w:val="00686518"/>
    <w:rsid w:val="006873F1"/>
    <w:rsid w:val="006A1E9D"/>
    <w:rsid w:val="006A2724"/>
    <w:rsid w:val="006A32BD"/>
    <w:rsid w:val="006B0852"/>
    <w:rsid w:val="006B0995"/>
    <w:rsid w:val="006B0B00"/>
    <w:rsid w:val="006B2423"/>
    <w:rsid w:val="006B5AD3"/>
    <w:rsid w:val="006C2219"/>
    <w:rsid w:val="006C2713"/>
    <w:rsid w:val="006C4CD2"/>
    <w:rsid w:val="006C6910"/>
    <w:rsid w:val="006D22F1"/>
    <w:rsid w:val="006D3944"/>
    <w:rsid w:val="006D4062"/>
    <w:rsid w:val="006D7536"/>
    <w:rsid w:val="006D7C31"/>
    <w:rsid w:val="006E1BC4"/>
    <w:rsid w:val="006E322E"/>
    <w:rsid w:val="006E5064"/>
    <w:rsid w:val="006E5974"/>
    <w:rsid w:val="006E6EE0"/>
    <w:rsid w:val="006E7C09"/>
    <w:rsid w:val="006F12EB"/>
    <w:rsid w:val="006F1A94"/>
    <w:rsid w:val="006F2F44"/>
    <w:rsid w:val="006F3073"/>
    <w:rsid w:val="006F55F0"/>
    <w:rsid w:val="006F6C65"/>
    <w:rsid w:val="00700828"/>
    <w:rsid w:val="0070244C"/>
    <w:rsid w:val="00702820"/>
    <w:rsid w:val="00704498"/>
    <w:rsid w:val="007054DC"/>
    <w:rsid w:val="00707FFA"/>
    <w:rsid w:val="007160FD"/>
    <w:rsid w:val="00720BB7"/>
    <w:rsid w:val="00721A54"/>
    <w:rsid w:val="00722F80"/>
    <w:rsid w:val="007231C7"/>
    <w:rsid w:val="00726749"/>
    <w:rsid w:val="00727D1F"/>
    <w:rsid w:val="0073645C"/>
    <w:rsid w:val="00736A1C"/>
    <w:rsid w:val="00741E67"/>
    <w:rsid w:val="00741E93"/>
    <w:rsid w:val="00743C96"/>
    <w:rsid w:val="00755BE0"/>
    <w:rsid w:val="0075717E"/>
    <w:rsid w:val="007637CE"/>
    <w:rsid w:val="00763E40"/>
    <w:rsid w:val="00772B2F"/>
    <w:rsid w:val="00777F2A"/>
    <w:rsid w:val="00780542"/>
    <w:rsid w:val="007826EC"/>
    <w:rsid w:val="00784229"/>
    <w:rsid w:val="00784DF1"/>
    <w:rsid w:val="00786A9A"/>
    <w:rsid w:val="007959B6"/>
    <w:rsid w:val="00796708"/>
    <w:rsid w:val="007A0BC8"/>
    <w:rsid w:val="007A19F5"/>
    <w:rsid w:val="007B60DA"/>
    <w:rsid w:val="007C2888"/>
    <w:rsid w:val="007C57E5"/>
    <w:rsid w:val="007C59B2"/>
    <w:rsid w:val="007C6FE1"/>
    <w:rsid w:val="007C75D0"/>
    <w:rsid w:val="007C7757"/>
    <w:rsid w:val="007D2D72"/>
    <w:rsid w:val="007E0048"/>
    <w:rsid w:val="007E20F4"/>
    <w:rsid w:val="007E219E"/>
    <w:rsid w:val="007E27F1"/>
    <w:rsid w:val="007E3851"/>
    <w:rsid w:val="007E5723"/>
    <w:rsid w:val="007F57CF"/>
    <w:rsid w:val="007F591A"/>
    <w:rsid w:val="007F6258"/>
    <w:rsid w:val="007F7DFA"/>
    <w:rsid w:val="0080482A"/>
    <w:rsid w:val="00804B13"/>
    <w:rsid w:val="00811123"/>
    <w:rsid w:val="008111F7"/>
    <w:rsid w:val="008140BD"/>
    <w:rsid w:val="00817145"/>
    <w:rsid w:val="00821A9D"/>
    <w:rsid w:val="008240CF"/>
    <w:rsid w:val="00824BB6"/>
    <w:rsid w:val="00831A46"/>
    <w:rsid w:val="00831F17"/>
    <w:rsid w:val="008324C6"/>
    <w:rsid w:val="0083271A"/>
    <w:rsid w:val="008328FF"/>
    <w:rsid w:val="008334F2"/>
    <w:rsid w:val="00833AD1"/>
    <w:rsid w:val="0083689E"/>
    <w:rsid w:val="00836AA0"/>
    <w:rsid w:val="00844047"/>
    <w:rsid w:val="008444C4"/>
    <w:rsid w:val="00846027"/>
    <w:rsid w:val="00852FC2"/>
    <w:rsid w:val="00856115"/>
    <w:rsid w:val="00863603"/>
    <w:rsid w:val="008709B5"/>
    <w:rsid w:val="0087116E"/>
    <w:rsid w:val="0087163E"/>
    <w:rsid w:val="00876272"/>
    <w:rsid w:val="00877106"/>
    <w:rsid w:val="0088077B"/>
    <w:rsid w:val="0088331A"/>
    <w:rsid w:val="00883AD9"/>
    <w:rsid w:val="00883C33"/>
    <w:rsid w:val="0088549D"/>
    <w:rsid w:val="00892DE1"/>
    <w:rsid w:val="00894870"/>
    <w:rsid w:val="00895685"/>
    <w:rsid w:val="008A0768"/>
    <w:rsid w:val="008A084C"/>
    <w:rsid w:val="008A23D4"/>
    <w:rsid w:val="008A2785"/>
    <w:rsid w:val="008A469F"/>
    <w:rsid w:val="008A4EDC"/>
    <w:rsid w:val="008B1468"/>
    <w:rsid w:val="008B2E71"/>
    <w:rsid w:val="008B7E58"/>
    <w:rsid w:val="008C0E7D"/>
    <w:rsid w:val="008C1B6A"/>
    <w:rsid w:val="008C3B26"/>
    <w:rsid w:val="008C4ECC"/>
    <w:rsid w:val="008C57AB"/>
    <w:rsid w:val="008D1F9F"/>
    <w:rsid w:val="008D2A40"/>
    <w:rsid w:val="008D4295"/>
    <w:rsid w:val="008E03E7"/>
    <w:rsid w:val="008E1D8E"/>
    <w:rsid w:val="008E2BF9"/>
    <w:rsid w:val="008E50B9"/>
    <w:rsid w:val="008E5EDD"/>
    <w:rsid w:val="008E6202"/>
    <w:rsid w:val="008F28A5"/>
    <w:rsid w:val="008F4ECF"/>
    <w:rsid w:val="008F6F76"/>
    <w:rsid w:val="009006A2"/>
    <w:rsid w:val="00900B11"/>
    <w:rsid w:val="009018ED"/>
    <w:rsid w:val="00901F46"/>
    <w:rsid w:val="00904A91"/>
    <w:rsid w:val="00912E0B"/>
    <w:rsid w:val="0091331D"/>
    <w:rsid w:val="00915021"/>
    <w:rsid w:val="00916C74"/>
    <w:rsid w:val="009229D1"/>
    <w:rsid w:val="00925364"/>
    <w:rsid w:val="00927EA7"/>
    <w:rsid w:val="009339BB"/>
    <w:rsid w:val="00935CE8"/>
    <w:rsid w:val="00936175"/>
    <w:rsid w:val="00936393"/>
    <w:rsid w:val="00936D78"/>
    <w:rsid w:val="00941FF4"/>
    <w:rsid w:val="00950FE6"/>
    <w:rsid w:val="009515AF"/>
    <w:rsid w:val="00953107"/>
    <w:rsid w:val="00953399"/>
    <w:rsid w:val="00953FBB"/>
    <w:rsid w:val="0095408F"/>
    <w:rsid w:val="0095540C"/>
    <w:rsid w:val="00956CEC"/>
    <w:rsid w:val="009630CD"/>
    <w:rsid w:val="00964DE9"/>
    <w:rsid w:val="00965F4B"/>
    <w:rsid w:val="0096681B"/>
    <w:rsid w:val="00972DA7"/>
    <w:rsid w:val="00973FC5"/>
    <w:rsid w:val="009767FB"/>
    <w:rsid w:val="00976BE3"/>
    <w:rsid w:val="009810FD"/>
    <w:rsid w:val="00981673"/>
    <w:rsid w:val="00981CB0"/>
    <w:rsid w:val="009837D0"/>
    <w:rsid w:val="0098672B"/>
    <w:rsid w:val="009943AA"/>
    <w:rsid w:val="00995747"/>
    <w:rsid w:val="009A1E33"/>
    <w:rsid w:val="009A5988"/>
    <w:rsid w:val="009A6EA1"/>
    <w:rsid w:val="009B1485"/>
    <w:rsid w:val="009B42AC"/>
    <w:rsid w:val="009B51FA"/>
    <w:rsid w:val="009B598B"/>
    <w:rsid w:val="009C23D5"/>
    <w:rsid w:val="009C52EA"/>
    <w:rsid w:val="009C5701"/>
    <w:rsid w:val="009C7200"/>
    <w:rsid w:val="009D09D2"/>
    <w:rsid w:val="009D2868"/>
    <w:rsid w:val="009D4162"/>
    <w:rsid w:val="009E0BCC"/>
    <w:rsid w:val="009E2D0D"/>
    <w:rsid w:val="009F2345"/>
    <w:rsid w:val="009F25E4"/>
    <w:rsid w:val="009F2D29"/>
    <w:rsid w:val="009F3055"/>
    <w:rsid w:val="009F32E6"/>
    <w:rsid w:val="009F5EA4"/>
    <w:rsid w:val="009F79F7"/>
    <w:rsid w:val="009F7D28"/>
    <w:rsid w:val="00A0048A"/>
    <w:rsid w:val="00A020FC"/>
    <w:rsid w:val="00A04E9F"/>
    <w:rsid w:val="00A057BA"/>
    <w:rsid w:val="00A0588F"/>
    <w:rsid w:val="00A05A49"/>
    <w:rsid w:val="00A067C3"/>
    <w:rsid w:val="00A101EF"/>
    <w:rsid w:val="00A1205B"/>
    <w:rsid w:val="00A140AA"/>
    <w:rsid w:val="00A156CA"/>
    <w:rsid w:val="00A162C5"/>
    <w:rsid w:val="00A16A50"/>
    <w:rsid w:val="00A1723F"/>
    <w:rsid w:val="00A22F1D"/>
    <w:rsid w:val="00A24B27"/>
    <w:rsid w:val="00A25C77"/>
    <w:rsid w:val="00A25DCA"/>
    <w:rsid w:val="00A26F33"/>
    <w:rsid w:val="00A26F76"/>
    <w:rsid w:val="00A27F33"/>
    <w:rsid w:val="00A30662"/>
    <w:rsid w:val="00A31E82"/>
    <w:rsid w:val="00A32242"/>
    <w:rsid w:val="00A33C65"/>
    <w:rsid w:val="00A3451D"/>
    <w:rsid w:val="00A35771"/>
    <w:rsid w:val="00A36836"/>
    <w:rsid w:val="00A3723C"/>
    <w:rsid w:val="00A43FFA"/>
    <w:rsid w:val="00A45B13"/>
    <w:rsid w:val="00A504A5"/>
    <w:rsid w:val="00A5062F"/>
    <w:rsid w:val="00A53611"/>
    <w:rsid w:val="00A54B8D"/>
    <w:rsid w:val="00A57D9E"/>
    <w:rsid w:val="00A61800"/>
    <w:rsid w:val="00A652BA"/>
    <w:rsid w:val="00A65AF3"/>
    <w:rsid w:val="00A7164D"/>
    <w:rsid w:val="00A71697"/>
    <w:rsid w:val="00A735D2"/>
    <w:rsid w:val="00A755E7"/>
    <w:rsid w:val="00A77DFC"/>
    <w:rsid w:val="00A80A80"/>
    <w:rsid w:val="00A813B5"/>
    <w:rsid w:val="00A834E1"/>
    <w:rsid w:val="00A83601"/>
    <w:rsid w:val="00A907A1"/>
    <w:rsid w:val="00A907BC"/>
    <w:rsid w:val="00A9138E"/>
    <w:rsid w:val="00A9141F"/>
    <w:rsid w:val="00A93BB4"/>
    <w:rsid w:val="00A95AED"/>
    <w:rsid w:val="00A96037"/>
    <w:rsid w:val="00AA2C47"/>
    <w:rsid w:val="00AA502D"/>
    <w:rsid w:val="00AA5998"/>
    <w:rsid w:val="00AA784F"/>
    <w:rsid w:val="00AB2BF7"/>
    <w:rsid w:val="00AB3296"/>
    <w:rsid w:val="00AB6930"/>
    <w:rsid w:val="00AB7385"/>
    <w:rsid w:val="00AC03CA"/>
    <w:rsid w:val="00AC1E1F"/>
    <w:rsid w:val="00AC270F"/>
    <w:rsid w:val="00AC2B63"/>
    <w:rsid w:val="00AC308D"/>
    <w:rsid w:val="00AC4AC9"/>
    <w:rsid w:val="00AC4B24"/>
    <w:rsid w:val="00AC4FFF"/>
    <w:rsid w:val="00AC531B"/>
    <w:rsid w:val="00AC5DCF"/>
    <w:rsid w:val="00AD0BED"/>
    <w:rsid w:val="00AD0CB2"/>
    <w:rsid w:val="00AD1392"/>
    <w:rsid w:val="00AD356F"/>
    <w:rsid w:val="00AD37D5"/>
    <w:rsid w:val="00AD4979"/>
    <w:rsid w:val="00AD58B2"/>
    <w:rsid w:val="00AE136E"/>
    <w:rsid w:val="00AE3B56"/>
    <w:rsid w:val="00AE57A9"/>
    <w:rsid w:val="00AE6124"/>
    <w:rsid w:val="00AE6D40"/>
    <w:rsid w:val="00AF0098"/>
    <w:rsid w:val="00AF3A97"/>
    <w:rsid w:val="00AF3BD5"/>
    <w:rsid w:val="00AF43C0"/>
    <w:rsid w:val="00AF6002"/>
    <w:rsid w:val="00B03A49"/>
    <w:rsid w:val="00B05250"/>
    <w:rsid w:val="00B07133"/>
    <w:rsid w:val="00B07B33"/>
    <w:rsid w:val="00B10A4B"/>
    <w:rsid w:val="00B10DA7"/>
    <w:rsid w:val="00B110E8"/>
    <w:rsid w:val="00B118A5"/>
    <w:rsid w:val="00B11EED"/>
    <w:rsid w:val="00B14EE9"/>
    <w:rsid w:val="00B21B5D"/>
    <w:rsid w:val="00B22D3A"/>
    <w:rsid w:val="00B25B93"/>
    <w:rsid w:val="00B27B10"/>
    <w:rsid w:val="00B30F88"/>
    <w:rsid w:val="00B332F0"/>
    <w:rsid w:val="00B333B9"/>
    <w:rsid w:val="00B3482D"/>
    <w:rsid w:val="00B35BD8"/>
    <w:rsid w:val="00B368B0"/>
    <w:rsid w:val="00B40649"/>
    <w:rsid w:val="00B43B71"/>
    <w:rsid w:val="00B45A47"/>
    <w:rsid w:val="00B50923"/>
    <w:rsid w:val="00B50C7F"/>
    <w:rsid w:val="00B5157F"/>
    <w:rsid w:val="00B5277C"/>
    <w:rsid w:val="00B54903"/>
    <w:rsid w:val="00B56096"/>
    <w:rsid w:val="00B605B0"/>
    <w:rsid w:val="00B61033"/>
    <w:rsid w:val="00B631FD"/>
    <w:rsid w:val="00B63379"/>
    <w:rsid w:val="00B72ED8"/>
    <w:rsid w:val="00B7466E"/>
    <w:rsid w:val="00B7565E"/>
    <w:rsid w:val="00B778C0"/>
    <w:rsid w:val="00B86D57"/>
    <w:rsid w:val="00B87F13"/>
    <w:rsid w:val="00B91CB9"/>
    <w:rsid w:val="00B9271C"/>
    <w:rsid w:val="00B92786"/>
    <w:rsid w:val="00B94131"/>
    <w:rsid w:val="00B9698D"/>
    <w:rsid w:val="00BA4634"/>
    <w:rsid w:val="00BA5072"/>
    <w:rsid w:val="00BA559D"/>
    <w:rsid w:val="00BB57B0"/>
    <w:rsid w:val="00BB5ED0"/>
    <w:rsid w:val="00BB6064"/>
    <w:rsid w:val="00BB65E2"/>
    <w:rsid w:val="00BB6C80"/>
    <w:rsid w:val="00BB7071"/>
    <w:rsid w:val="00BC18A6"/>
    <w:rsid w:val="00BC5F90"/>
    <w:rsid w:val="00BC6E61"/>
    <w:rsid w:val="00BC70C4"/>
    <w:rsid w:val="00BC75BC"/>
    <w:rsid w:val="00BC7DA3"/>
    <w:rsid w:val="00BD0898"/>
    <w:rsid w:val="00BD5119"/>
    <w:rsid w:val="00BD6716"/>
    <w:rsid w:val="00BE0C6E"/>
    <w:rsid w:val="00BE22D5"/>
    <w:rsid w:val="00BE3B88"/>
    <w:rsid w:val="00BE4FC5"/>
    <w:rsid w:val="00BE505C"/>
    <w:rsid w:val="00BE51E9"/>
    <w:rsid w:val="00BE7511"/>
    <w:rsid w:val="00BF2AC6"/>
    <w:rsid w:val="00BF3004"/>
    <w:rsid w:val="00BF34CF"/>
    <w:rsid w:val="00BF58DC"/>
    <w:rsid w:val="00C01217"/>
    <w:rsid w:val="00C01F06"/>
    <w:rsid w:val="00C02D9E"/>
    <w:rsid w:val="00C039F9"/>
    <w:rsid w:val="00C06425"/>
    <w:rsid w:val="00C110D2"/>
    <w:rsid w:val="00C11304"/>
    <w:rsid w:val="00C12559"/>
    <w:rsid w:val="00C12C19"/>
    <w:rsid w:val="00C1345E"/>
    <w:rsid w:val="00C13F77"/>
    <w:rsid w:val="00C238DF"/>
    <w:rsid w:val="00C256FC"/>
    <w:rsid w:val="00C32E9C"/>
    <w:rsid w:val="00C33852"/>
    <w:rsid w:val="00C3704A"/>
    <w:rsid w:val="00C37BC4"/>
    <w:rsid w:val="00C401C7"/>
    <w:rsid w:val="00C40598"/>
    <w:rsid w:val="00C40BE2"/>
    <w:rsid w:val="00C42116"/>
    <w:rsid w:val="00C443F7"/>
    <w:rsid w:val="00C4492C"/>
    <w:rsid w:val="00C44E5A"/>
    <w:rsid w:val="00C45094"/>
    <w:rsid w:val="00C45DFB"/>
    <w:rsid w:val="00C46E9B"/>
    <w:rsid w:val="00C55275"/>
    <w:rsid w:val="00C56BB2"/>
    <w:rsid w:val="00C6043E"/>
    <w:rsid w:val="00C61A5A"/>
    <w:rsid w:val="00C63EDE"/>
    <w:rsid w:val="00C651D2"/>
    <w:rsid w:val="00C65903"/>
    <w:rsid w:val="00C6634E"/>
    <w:rsid w:val="00C72620"/>
    <w:rsid w:val="00C74D63"/>
    <w:rsid w:val="00C76829"/>
    <w:rsid w:val="00C80135"/>
    <w:rsid w:val="00C80B2D"/>
    <w:rsid w:val="00C81A0C"/>
    <w:rsid w:val="00C831BC"/>
    <w:rsid w:val="00C853C5"/>
    <w:rsid w:val="00C9426C"/>
    <w:rsid w:val="00CA0DF3"/>
    <w:rsid w:val="00CA239C"/>
    <w:rsid w:val="00CA25AA"/>
    <w:rsid w:val="00CA3549"/>
    <w:rsid w:val="00CA5155"/>
    <w:rsid w:val="00CA582C"/>
    <w:rsid w:val="00CA65BF"/>
    <w:rsid w:val="00CB0B7E"/>
    <w:rsid w:val="00CB223B"/>
    <w:rsid w:val="00CB2494"/>
    <w:rsid w:val="00CC014E"/>
    <w:rsid w:val="00CC58A8"/>
    <w:rsid w:val="00CC756E"/>
    <w:rsid w:val="00CC7872"/>
    <w:rsid w:val="00CD02A5"/>
    <w:rsid w:val="00CD066E"/>
    <w:rsid w:val="00CD0B33"/>
    <w:rsid w:val="00CD3254"/>
    <w:rsid w:val="00CD5938"/>
    <w:rsid w:val="00CE19D0"/>
    <w:rsid w:val="00CE488E"/>
    <w:rsid w:val="00CE661C"/>
    <w:rsid w:val="00CE6D9A"/>
    <w:rsid w:val="00CE795B"/>
    <w:rsid w:val="00CF46FB"/>
    <w:rsid w:val="00CF50D2"/>
    <w:rsid w:val="00CF600E"/>
    <w:rsid w:val="00CF74EB"/>
    <w:rsid w:val="00D00AE9"/>
    <w:rsid w:val="00D018EC"/>
    <w:rsid w:val="00D02D09"/>
    <w:rsid w:val="00D17661"/>
    <w:rsid w:val="00D22983"/>
    <w:rsid w:val="00D24BB9"/>
    <w:rsid w:val="00D24C7F"/>
    <w:rsid w:val="00D257D3"/>
    <w:rsid w:val="00D3128A"/>
    <w:rsid w:val="00D331D9"/>
    <w:rsid w:val="00D34757"/>
    <w:rsid w:val="00D3687D"/>
    <w:rsid w:val="00D41B90"/>
    <w:rsid w:val="00D44261"/>
    <w:rsid w:val="00D45D49"/>
    <w:rsid w:val="00D52349"/>
    <w:rsid w:val="00D61637"/>
    <w:rsid w:val="00D62005"/>
    <w:rsid w:val="00D635AE"/>
    <w:rsid w:val="00D66002"/>
    <w:rsid w:val="00D70E7B"/>
    <w:rsid w:val="00D71959"/>
    <w:rsid w:val="00D778EC"/>
    <w:rsid w:val="00D80D03"/>
    <w:rsid w:val="00D84199"/>
    <w:rsid w:val="00D844CD"/>
    <w:rsid w:val="00D86F6B"/>
    <w:rsid w:val="00D87304"/>
    <w:rsid w:val="00D92520"/>
    <w:rsid w:val="00D927A1"/>
    <w:rsid w:val="00D95DEB"/>
    <w:rsid w:val="00D96CB5"/>
    <w:rsid w:val="00DA14D8"/>
    <w:rsid w:val="00DA3D91"/>
    <w:rsid w:val="00DB0496"/>
    <w:rsid w:val="00DB0B1F"/>
    <w:rsid w:val="00DB129A"/>
    <w:rsid w:val="00DB27C8"/>
    <w:rsid w:val="00DB6925"/>
    <w:rsid w:val="00DB7001"/>
    <w:rsid w:val="00DB71F2"/>
    <w:rsid w:val="00DB7402"/>
    <w:rsid w:val="00DC01B6"/>
    <w:rsid w:val="00DC1179"/>
    <w:rsid w:val="00DC16E8"/>
    <w:rsid w:val="00DC3DD6"/>
    <w:rsid w:val="00DC441E"/>
    <w:rsid w:val="00DC4B9F"/>
    <w:rsid w:val="00DC6B7F"/>
    <w:rsid w:val="00DD129B"/>
    <w:rsid w:val="00DD573B"/>
    <w:rsid w:val="00DD705C"/>
    <w:rsid w:val="00DE13EC"/>
    <w:rsid w:val="00DE1A9C"/>
    <w:rsid w:val="00DE1CF2"/>
    <w:rsid w:val="00DE4106"/>
    <w:rsid w:val="00DE7B70"/>
    <w:rsid w:val="00DF1433"/>
    <w:rsid w:val="00DF18B0"/>
    <w:rsid w:val="00DF3EB9"/>
    <w:rsid w:val="00DF508C"/>
    <w:rsid w:val="00DF5180"/>
    <w:rsid w:val="00DF547C"/>
    <w:rsid w:val="00DF5A9B"/>
    <w:rsid w:val="00E03CBA"/>
    <w:rsid w:val="00E03EF9"/>
    <w:rsid w:val="00E055AB"/>
    <w:rsid w:val="00E061FC"/>
    <w:rsid w:val="00E07A29"/>
    <w:rsid w:val="00E102DB"/>
    <w:rsid w:val="00E11355"/>
    <w:rsid w:val="00E11E96"/>
    <w:rsid w:val="00E14AD3"/>
    <w:rsid w:val="00E15747"/>
    <w:rsid w:val="00E16302"/>
    <w:rsid w:val="00E17D54"/>
    <w:rsid w:val="00E2010C"/>
    <w:rsid w:val="00E2245C"/>
    <w:rsid w:val="00E22A8E"/>
    <w:rsid w:val="00E22DF0"/>
    <w:rsid w:val="00E23747"/>
    <w:rsid w:val="00E2433A"/>
    <w:rsid w:val="00E243AF"/>
    <w:rsid w:val="00E25A80"/>
    <w:rsid w:val="00E3349C"/>
    <w:rsid w:val="00E402A7"/>
    <w:rsid w:val="00E405F2"/>
    <w:rsid w:val="00E44F27"/>
    <w:rsid w:val="00E459F8"/>
    <w:rsid w:val="00E46172"/>
    <w:rsid w:val="00E629F1"/>
    <w:rsid w:val="00E662BC"/>
    <w:rsid w:val="00E679D5"/>
    <w:rsid w:val="00E7252D"/>
    <w:rsid w:val="00E75469"/>
    <w:rsid w:val="00E80898"/>
    <w:rsid w:val="00E825B1"/>
    <w:rsid w:val="00E82DE6"/>
    <w:rsid w:val="00E84AAF"/>
    <w:rsid w:val="00E84B16"/>
    <w:rsid w:val="00E90FD2"/>
    <w:rsid w:val="00E9560B"/>
    <w:rsid w:val="00E95A4B"/>
    <w:rsid w:val="00E96537"/>
    <w:rsid w:val="00E9744A"/>
    <w:rsid w:val="00EA1336"/>
    <w:rsid w:val="00EA341C"/>
    <w:rsid w:val="00EA3892"/>
    <w:rsid w:val="00EA40B5"/>
    <w:rsid w:val="00EA4393"/>
    <w:rsid w:val="00EB2902"/>
    <w:rsid w:val="00EB4686"/>
    <w:rsid w:val="00EB5556"/>
    <w:rsid w:val="00EB6176"/>
    <w:rsid w:val="00EC005E"/>
    <w:rsid w:val="00EC106A"/>
    <w:rsid w:val="00EC1C82"/>
    <w:rsid w:val="00EC2612"/>
    <w:rsid w:val="00EC63C0"/>
    <w:rsid w:val="00EC7A5B"/>
    <w:rsid w:val="00ED3518"/>
    <w:rsid w:val="00ED51EF"/>
    <w:rsid w:val="00ED7EFE"/>
    <w:rsid w:val="00EE2F59"/>
    <w:rsid w:val="00EE3892"/>
    <w:rsid w:val="00EE3C0C"/>
    <w:rsid w:val="00EE56FC"/>
    <w:rsid w:val="00EE618D"/>
    <w:rsid w:val="00EE7A0C"/>
    <w:rsid w:val="00EE7D3A"/>
    <w:rsid w:val="00EE7D65"/>
    <w:rsid w:val="00EE7DAE"/>
    <w:rsid w:val="00EF0390"/>
    <w:rsid w:val="00EF3B2E"/>
    <w:rsid w:val="00EF6FCD"/>
    <w:rsid w:val="00EF6FDA"/>
    <w:rsid w:val="00F00D83"/>
    <w:rsid w:val="00F12512"/>
    <w:rsid w:val="00F13971"/>
    <w:rsid w:val="00F13AFD"/>
    <w:rsid w:val="00F16181"/>
    <w:rsid w:val="00F26353"/>
    <w:rsid w:val="00F26A74"/>
    <w:rsid w:val="00F34897"/>
    <w:rsid w:val="00F360BE"/>
    <w:rsid w:val="00F36803"/>
    <w:rsid w:val="00F37802"/>
    <w:rsid w:val="00F41B54"/>
    <w:rsid w:val="00F44132"/>
    <w:rsid w:val="00F45193"/>
    <w:rsid w:val="00F46969"/>
    <w:rsid w:val="00F513BF"/>
    <w:rsid w:val="00F5300D"/>
    <w:rsid w:val="00F53F93"/>
    <w:rsid w:val="00F60962"/>
    <w:rsid w:val="00F61B88"/>
    <w:rsid w:val="00F62AD8"/>
    <w:rsid w:val="00F70152"/>
    <w:rsid w:val="00F70EAB"/>
    <w:rsid w:val="00F736B8"/>
    <w:rsid w:val="00F73BEE"/>
    <w:rsid w:val="00F76C82"/>
    <w:rsid w:val="00F81F1C"/>
    <w:rsid w:val="00F823B7"/>
    <w:rsid w:val="00F84C48"/>
    <w:rsid w:val="00F90D46"/>
    <w:rsid w:val="00F91D99"/>
    <w:rsid w:val="00F91DC3"/>
    <w:rsid w:val="00F9444E"/>
    <w:rsid w:val="00F952F3"/>
    <w:rsid w:val="00F95B16"/>
    <w:rsid w:val="00F96AA8"/>
    <w:rsid w:val="00FA5814"/>
    <w:rsid w:val="00FA5CDC"/>
    <w:rsid w:val="00FB2FB2"/>
    <w:rsid w:val="00FB6AA0"/>
    <w:rsid w:val="00FB6EC2"/>
    <w:rsid w:val="00FC04A1"/>
    <w:rsid w:val="00FC2C01"/>
    <w:rsid w:val="00FC2F5C"/>
    <w:rsid w:val="00FD38C0"/>
    <w:rsid w:val="00FD38DC"/>
    <w:rsid w:val="00FD5CDB"/>
    <w:rsid w:val="00FD72A4"/>
    <w:rsid w:val="00FE016C"/>
    <w:rsid w:val="00FE06B1"/>
    <w:rsid w:val="00FE6D62"/>
    <w:rsid w:val="00FF4280"/>
    <w:rsid w:val="00FF6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3CAAF"/>
  <w15:docId w15:val="{8DCE43EA-2942-4538-9768-758A7A3D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ListNumber2"/>
    <w:qFormat/>
    <w:rsid w:val="00E84B16"/>
    <w:pPr>
      <w:spacing w:after="200" w:line="276" w:lineRule="auto"/>
    </w:pPr>
  </w:style>
  <w:style w:type="paragraph" w:styleId="Heading1">
    <w:name w:val="heading 1"/>
    <w:basedOn w:val="Normal"/>
    <w:next w:val="Normal"/>
    <w:link w:val="Heading1Char"/>
    <w:uiPriority w:val="9"/>
    <w:qFormat/>
    <w:rsid w:val="00D80D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39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Colorful List - Accent 11"/>
    <w:basedOn w:val="Normal"/>
    <w:link w:val="ListParagraphChar"/>
    <w:uiPriority w:val="34"/>
    <w:qFormat/>
    <w:rsid w:val="00E84B16"/>
    <w:pPr>
      <w:ind w:left="720"/>
      <w:contextualSpacing/>
    </w:pPr>
  </w:style>
  <w:style w:type="paragraph" w:styleId="NoSpacing">
    <w:name w:val="No Spacing"/>
    <w:uiPriority w:val="1"/>
    <w:qFormat/>
    <w:rsid w:val="00E84B16"/>
  </w:style>
  <w:style w:type="paragraph" w:styleId="NormalWeb">
    <w:name w:val="Normal (Web)"/>
    <w:basedOn w:val="Normal"/>
    <w:uiPriority w:val="99"/>
    <w:unhideWhenUsed/>
    <w:rsid w:val="00E84B16"/>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4B16"/>
    <w:rPr>
      <w:sz w:val="16"/>
      <w:szCs w:val="16"/>
    </w:rPr>
  </w:style>
  <w:style w:type="paragraph" w:styleId="CommentText">
    <w:name w:val="annotation text"/>
    <w:basedOn w:val="Normal"/>
    <w:link w:val="CommentTextChar"/>
    <w:uiPriority w:val="99"/>
    <w:semiHidden/>
    <w:unhideWhenUsed/>
    <w:rsid w:val="00E84B16"/>
    <w:pPr>
      <w:spacing w:line="240" w:lineRule="auto"/>
    </w:pPr>
    <w:rPr>
      <w:sz w:val="20"/>
      <w:szCs w:val="20"/>
    </w:rPr>
  </w:style>
  <w:style w:type="character" w:customStyle="1" w:styleId="CommentTextChar">
    <w:name w:val="Comment Text Char"/>
    <w:basedOn w:val="DefaultParagraphFont"/>
    <w:link w:val="CommentText"/>
    <w:uiPriority w:val="99"/>
    <w:semiHidden/>
    <w:rsid w:val="00E84B16"/>
    <w:rPr>
      <w:sz w:val="20"/>
      <w:szCs w:val="20"/>
    </w:rPr>
  </w:style>
  <w:style w:type="paragraph" w:styleId="ListNumber2">
    <w:name w:val="List Number 2"/>
    <w:basedOn w:val="Normal"/>
    <w:uiPriority w:val="99"/>
    <w:unhideWhenUsed/>
    <w:rsid w:val="00E84B16"/>
    <w:pPr>
      <w:numPr>
        <w:numId w:val="1"/>
      </w:numPr>
      <w:contextualSpacing/>
    </w:pPr>
  </w:style>
  <w:style w:type="paragraph" w:styleId="BalloonText">
    <w:name w:val="Balloon Text"/>
    <w:basedOn w:val="Normal"/>
    <w:link w:val="BalloonTextChar"/>
    <w:uiPriority w:val="99"/>
    <w:semiHidden/>
    <w:unhideWhenUsed/>
    <w:rsid w:val="00E8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B16"/>
    <w:rPr>
      <w:rFonts w:ascii="Tahoma" w:hAnsi="Tahoma" w:cs="Tahoma"/>
      <w:sz w:val="16"/>
      <w:szCs w:val="16"/>
    </w:rPr>
  </w:style>
  <w:style w:type="table" w:styleId="TableGrid">
    <w:name w:val="Table Grid"/>
    <w:basedOn w:val="TableNormal"/>
    <w:uiPriority w:val="39"/>
    <w:rsid w:val="00E84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4B16"/>
    <w:rPr>
      <w:b/>
      <w:bCs/>
    </w:rPr>
  </w:style>
  <w:style w:type="paragraph" w:customStyle="1" w:styleId="Default">
    <w:name w:val="Default"/>
    <w:rsid w:val="00E84B16"/>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407F5E"/>
    <w:rPr>
      <w:b/>
      <w:bCs/>
    </w:rPr>
  </w:style>
  <w:style w:type="character" w:customStyle="1" w:styleId="CommentSubjectChar">
    <w:name w:val="Comment Subject Char"/>
    <w:basedOn w:val="CommentTextChar"/>
    <w:link w:val="CommentSubject"/>
    <w:uiPriority w:val="99"/>
    <w:semiHidden/>
    <w:rsid w:val="00407F5E"/>
    <w:rPr>
      <w:b/>
      <w:bCs/>
      <w:sz w:val="20"/>
      <w:szCs w:val="20"/>
    </w:rPr>
  </w:style>
  <w:style w:type="character" w:styleId="Hyperlink">
    <w:name w:val="Hyperlink"/>
    <w:basedOn w:val="DefaultParagraphFont"/>
    <w:uiPriority w:val="99"/>
    <w:unhideWhenUsed/>
    <w:rsid w:val="00095BCC"/>
    <w:rPr>
      <w:color w:val="0000FF" w:themeColor="hyperlink"/>
      <w:u w:val="single"/>
    </w:rPr>
  </w:style>
  <w:style w:type="paragraph" w:styleId="Header">
    <w:name w:val="header"/>
    <w:basedOn w:val="Normal"/>
    <w:link w:val="HeaderChar"/>
    <w:uiPriority w:val="99"/>
    <w:unhideWhenUsed/>
    <w:rsid w:val="002E7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C88"/>
  </w:style>
  <w:style w:type="paragraph" w:styleId="Footer">
    <w:name w:val="footer"/>
    <w:basedOn w:val="Normal"/>
    <w:link w:val="FooterChar"/>
    <w:uiPriority w:val="99"/>
    <w:unhideWhenUsed/>
    <w:rsid w:val="002E7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C88"/>
  </w:style>
  <w:style w:type="character" w:customStyle="1" w:styleId="Heading1Char">
    <w:name w:val="Heading 1 Char"/>
    <w:basedOn w:val="DefaultParagraphFont"/>
    <w:link w:val="Heading1"/>
    <w:uiPriority w:val="9"/>
    <w:rsid w:val="00D80D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396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F46D6"/>
    <w:rPr>
      <w:color w:val="605E5C"/>
      <w:shd w:val="clear" w:color="auto" w:fill="E1DFDD"/>
    </w:rPr>
  </w:style>
  <w:style w:type="paragraph" w:styleId="FootnoteText">
    <w:name w:val="footnote text"/>
    <w:basedOn w:val="Normal"/>
    <w:link w:val="FootnoteTextChar"/>
    <w:uiPriority w:val="99"/>
    <w:semiHidden/>
    <w:unhideWhenUsed/>
    <w:rsid w:val="00D71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959"/>
    <w:rPr>
      <w:sz w:val="20"/>
      <w:szCs w:val="20"/>
    </w:rPr>
  </w:style>
  <w:style w:type="character" w:styleId="FootnoteReference">
    <w:name w:val="footnote reference"/>
    <w:basedOn w:val="DefaultParagraphFont"/>
    <w:uiPriority w:val="99"/>
    <w:semiHidden/>
    <w:unhideWhenUsed/>
    <w:rsid w:val="00D71959"/>
    <w:rPr>
      <w:vertAlign w:val="superscript"/>
    </w:rPr>
  </w:style>
  <w:style w:type="character" w:styleId="FollowedHyperlink">
    <w:name w:val="FollowedHyperlink"/>
    <w:basedOn w:val="DefaultParagraphFont"/>
    <w:uiPriority w:val="99"/>
    <w:semiHidden/>
    <w:unhideWhenUsed/>
    <w:rsid w:val="008324C6"/>
    <w:rPr>
      <w:color w:val="800080" w:themeColor="followedHyperlink"/>
      <w:u w:val="single"/>
    </w:rPr>
  </w:style>
  <w:style w:type="character" w:customStyle="1" w:styleId="ListParagraphChar">
    <w:name w:val="List Paragraph Char"/>
    <w:aliases w:val="Normal + indent Char,Colorful List - Accent 11 Char"/>
    <w:link w:val="ListParagraph"/>
    <w:uiPriority w:val="34"/>
    <w:locked/>
    <w:rsid w:val="002D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3082">
      <w:bodyDiv w:val="1"/>
      <w:marLeft w:val="0"/>
      <w:marRight w:val="0"/>
      <w:marTop w:val="0"/>
      <w:marBottom w:val="0"/>
      <w:divBdr>
        <w:top w:val="none" w:sz="0" w:space="0" w:color="auto"/>
        <w:left w:val="none" w:sz="0" w:space="0" w:color="auto"/>
        <w:bottom w:val="none" w:sz="0" w:space="0" w:color="auto"/>
        <w:right w:val="none" w:sz="0" w:space="0" w:color="auto"/>
      </w:divBdr>
    </w:div>
    <w:div w:id="23796135">
      <w:bodyDiv w:val="1"/>
      <w:marLeft w:val="0"/>
      <w:marRight w:val="0"/>
      <w:marTop w:val="0"/>
      <w:marBottom w:val="0"/>
      <w:divBdr>
        <w:top w:val="none" w:sz="0" w:space="0" w:color="auto"/>
        <w:left w:val="none" w:sz="0" w:space="0" w:color="auto"/>
        <w:bottom w:val="none" w:sz="0" w:space="0" w:color="auto"/>
        <w:right w:val="none" w:sz="0" w:space="0" w:color="auto"/>
      </w:divBdr>
    </w:div>
    <w:div w:id="27608002">
      <w:bodyDiv w:val="1"/>
      <w:marLeft w:val="0"/>
      <w:marRight w:val="0"/>
      <w:marTop w:val="0"/>
      <w:marBottom w:val="0"/>
      <w:divBdr>
        <w:top w:val="none" w:sz="0" w:space="0" w:color="auto"/>
        <w:left w:val="none" w:sz="0" w:space="0" w:color="auto"/>
        <w:bottom w:val="none" w:sz="0" w:space="0" w:color="auto"/>
        <w:right w:val="none" w:sz="0" w:space="0" w:color="auto"/>
      </w:divBdr>
    </w:div>
    <w:div w:id="32732515">
      <w:bodyDiv w:val="1"/>
      <w:marLeft w:val="0"/>
      <w:marRight w:val="0"/>
      <w:marTop w:val="0"/>
      <w:marBottom w:val="0"/>
      <w:divBdr>
        <w:top w:val="none" w:sz="0" w:space="0" w:color="auto"/>
        <w:left w:val="none" w:sz="0" w:space="0" w:color="auto"/>
        <w:bottom w:val="none" w:sz="0" w:space="0" w:color="auto"/>
        <w:right w:val="none" w:sz="0" w:space="0" w:color="auto"/>
      </w:divBdr>
    </w:div>
    <w:div w:id="60105844">
      <w:bodyDiv w:val="1"/>
      <w:marLeft w:val="0"/>
      <w:marRight w:val="0"/>
      <w:marTop w:val="0"/>
      <w:marBottom w:val="0"/>
      <w:divBdr>
        <w:top w:val="none" w:sz="0" w:space="0" w:color="auto"/>
        <w:left w:val="none" w:sz="0" w:space="0" w:color="auto"/>
        <w:bottom w:val="none" w:sz="0" w:space="0" w:color="auto"/>
        <w:right w:val="none" w:sz="0" w:space="0" w:color="auto"/>
      </w:divBdr>
    </w:div>
    <w:div w:id="68505154">
      <w:bodyDiv w:val="1"/>
      <w:marLeft w:val="0"/>
      <w:marRight w:val="0"/>
      <w:marTop w:val="0"/>
      <w:marBottom w:val="0"/>
      <w:divBdr>
        <w:top w:val="none" w:sz="0" w:space="0" w:color="auto"/>
        <w:left w:val="none" w:sz="0" w:space="0" w:color="auto"/>
        <w:bottom w:val="none" w:sz="0" w:space="0" w:color="auto"/>
        <w:right w:val="none" w:sz="0" w:space="0" w:color="auto"/>
      </w:divBdr>
    </w:div>
    <w:div w:id="90901967">
      <w:bodyDiv w:val="1"/>
      <w:marLeft w:val="0"/>
      <w:marRight w:val="0"/>
      <w:marTop w:val="0"/>
      <w:marBottom w:val="0"/>
      <w:divBdr>
        <w:top w:val="none" w:sz="0" w:space="0" w:color="auto"/>
        <w:left w:val="none" w:sz="0" w:space="0" w:color="auto"/>
        <w:bottom w:val="none" w:sz="0" w:space="0" w:color="auto"/>
        <w:right w:val="none" w:sz="0" w:space="0" w:color="auto"/>
      </w:divBdr>
    </w:div>
    <w:div w:id="115024290">
      <w:bodyDiv w:val="1"/>
      <w:marLeft w:val="0"/>
      <w:marRight w:val="0"/>
      <w:marTop w:val="0"/>
      <w:marBottom w:val="0"/>
      <w:divBdr>
        <w:top w:val="none" w:sz="0" w:space="0" w:color="auto"/>
        <w:left w:val="none" w:sz="0" w:space="0" w:color="auto"/>
        <w:bottom w:val="none" w:sz="0" w:space="0" w:color="auto"/>
        <w:right w:val="none" w:sz="0" w:space="0" w:color="auto"/>
      </w:divBdr>
    </w:div>
    <w:div w:id="178391698">
      <w:bodyDiv w:val="1"/>
      <w:marLeft w:val="0"/>
      <w:marRight w:val="0"/>
      <w:marTop w:val="0"/>
      <w:marBottom w:val="0"/>
      <w:divBdr>
        <w:top w:val="none" w:sz="0" w:space="0" w:color="auto"/>
        <w:left w:val="none" w:sz="0" w:space="0" w:color="auto"/>
        <w:bottom w:val="none" w:sz="0" w:space="0" w:color="auto"/>
        <w:right w:val="none" w:sz="0" w:space="0" w:color="auto"/>
      </w:divBdr>
    </w:div>
    <w:div w:id="180895075">
      <w:bodyDiv w:val="1"/>
      <w:marLeft w:val="0"/>
      <w:marRight w:val="0"/>
      <w:marTop w:val="0"/>
      <w:marBottom w:val="0"/>
      <w:divBdr>
        <w:top w:val="none" w:sz="0" w:space="0" w:color="auto"/>
        <w:left w:val="none" w:sz="0" w:space="0" w:color="auto"/>
        <w:bottom w:val="none" w:sz="0" w:space="0" w:color="auto"/>
        <w:right w:val="none" w:sz="0" w:space="0" w:color="auto"/>
      </w:divBdr>
    </w:div>
    <w:div w:id="189268341">
      <w:bodyDiv w:val="1"/>
      <w:marLeft w:val="0"/>
      <w:marRight w:val="0"/>
      <w:marTop w:val="0"/>
      <w:marBottom w:val="0"/>
      <w:divBdr>
        <w:top w:val="none" w:sz="0" w:space="0" w:color="auto"/>
        <w:left w:val="none" w:sz="0" w:space="0" w:color="auto"/>
        <w:bottom w:val="none" w:sz="0" w:space="0" w:color="auto"/>
        <w:right w:val="none" w:sz="0" w:space="0" w:color="auto"/>
      </w:divBdr>
    </w:div>
    <w:div w:id="195387821">
      <w:bodyDiv w:val="1"/>
      <w:marLeft w:val="0"/>
      <w:marRight w:val="0"/>
      <w:marTop w:val="0"/>
      <w:marBottom w:val="0"/>
      <w:divBdr>
        <w:top w:val="none" w:sz="0" w:space="0" w:color="auto"/>
        <w:left w:val="none" w:sz="0" w:space="0" w:color="auto"/>
        <w:bottom w:val="none" w:sz="0" w:space="0" w:color="auto"/>
        <w:right w:val="none" w:sz="0" w:space="0" w:color="auto"/>
      </w:divBdr>
    </w:div>
    <w:div w:id="201747666">
      <w:bodyDiv w:val="1"/>
      <w:marLeft w:val="0"/>
      <w:marRight w:val="0"/>
      <w:marTop w:val="0"/>
      <w:marBottom w:val="0"/>
      <w:divBdr>
        <w:top w:val="none" w:sz="0" w:space="0" w:color="auto"/>
        <w:left w:val="none" w:sz="0" w:space="0" w:color="auto"/>
        <w:bottom w:val="none" w:sz="0" w:space="0" w:color="auto"/>
        <w:right w:val="none" w:sz="0" w:space="0" w:color="auto"/>
      </w:divBdr>
    </w:div>
    <w:div w:id="245263347">
      <w:bodyDiv w:val="1"/>
      <w:marLeft w:val="0"/>
      <w:marRight w:val="0"/>
      <w:marTop w:val="0"/>
      <w:marBottom w:val="0"/>
      <w:divBdr>
        <w:top w:val="none" w:sz="0" w:space="0" w:color="auto"/>
        <w:left w:val="none" w:sz="0" w:space="0" w:color="auto"/>
        <w:bottom w:val="none" w:sz="0" w:space="0" w:color="auto"/>
        <w:right w:val="none" w:sz="0" w:space="0" w:color="auto"/>
      </w:divBdr>
    </w:div>
    <w:div w:id="262423967">
      <w:bodyDiv w:val="1"/>
      <w:marLeft w:val="0"/>
      <w:marRight w:val="0"/>
      <w:marTop w:val="0"/>
      <w:marBottom w:val="0"/>
      <w:divBdr>
        <w:top w:val="none" w:sz="0" w:space="0" w:color="auto"/>
        <w:left w:val="none" w:sz="0" w:space="0" w:color="auto"/>
        <w:bottom w:val="none" w:sz="0" w:space="0" w:color="auto"/>
        <w:right w:val="none" w:sz="0" w:space="0" w:color="auto"/>
      </w:divBdr>
    </w:div>
    <w:div w:id="269289027">
      <w:bodyDiv w:val="1"/>
      <w:marLeft w:val="0"/>
      <w:marRight w:val="0"/>
      <w:marTop w:val="0"/>
      <w:marBottom w:val="0"/>
      <w:divBdr>
        <w:top w:val="none" w:sz="0" w:space="0" w:color="auto"/>
        <w:left w:val="none" w:sz="0" w:space="0" w:color="auto"/>
        <w:bottom w:val="none" w:sz="0" w:space="0" w:color="auto"/>
        <w:right w:val="none" w:sz="0" w:space="0" w:color="auto"/>
      </w:divBdr>
    </w:div>
    <w:div w:id="272791973">
      <w:bodyDiv w:val="1"/>
      <w:marLeft w:val="0"/>
      <w:marRight w:val="0"/>
      <w:marTop w:val="0"/>
      <w:marBottom w:val="0"/>
      <w:divBdr>
        <w:top w:val="none" w:sz="0" w:space="0" w:color="auto"/>
        <w:left w:val="none" w:sz="0" w:space="0" w:color="auto"/>
        <w:bottom w:val="none" w:sz="0" w:space="0" w:color="auto"/>
        <w:right w:val="none" w:sz="0" w:space="0" w:color="auto"/>
      </w:divBdr>
    </w:div>
    <w:div w:id="274482188">
      <w:bodyDiv w:val="1"/>
      <w:marLeft w:val="0"/>
      <w:marRight w:val="0"/>
      <w:marTop w:val="0"/>
      <w:marBottom w:val="0"/>
      <w:divBdr>
        <w:top w:val="none" w:sz="0" w:space="0" w:color="auto"/>
        <w:left w:val="none" w:sz="0" w:space="0" w:color="auto"/>
        <w:bottom w:val="none" w:sz="0" w:space="0" w:color="auto"/>
        <w:right w:val="none" w:sz="0" w:space="0" w:color="auto"/>
      </w:divBdr>
    </w:div>
    <w:div w:id="283537643">
      <w:bodyDiv w:val="1"/>
      <w:marLeft w:val="0"/>
      <w:marRight w:val="0"/>
      <w:marTop w:val="0"/>
      <w:marBottom w:val="0"/>
      <w:divBdr>
        <w:top w:val="none" w:sz="0" w:space="0" w:color="auto"/>
        <w:left w:val="none" w:sz="0" w:space="0" w:color="auto"/>
        <w:bottom w:val="none" w:sz="0" w:space="0" w:color="auto"/>
        <w:right w:val="none" w:sz="0" w:space="0" w:color="auto"/>
      </w:divBdr>
    </w:div>
    <w:div w:id="296379463">
      <w:bodyDiv w:val="1"/>
      <w:marLeft w:val="0"/>
      <w:marRight w:val="0"/>
      <w:marTop w:val="0"/>
      <w:marBottom w:val="0"/>
      <w:divBdr>
        <w:top w:val="none" w:sz="0" w:space="0" w:color="auto"/>
        <w:left w:val="none" w:sz="0" w:space="0" w:color="auto"/>
        <w:bottom w:val="none" w:sz="0" w:space="0" w:color="auto"/>
        <w:right w:val="none" w:sz="0" w:space="0" w:color="auto"/>
      </w:divBdr>
    </w:div>
    <w:div w:id="344212038">
      <w:bodyDiv w:val="1"/>
      <w:marLeft w:val="0"/>
      <w:marRight w:val="0"/>
      <w:marTop w:val="0"/>
      <w:marBottom w:val="0"/>
      <w:divBdr>
        <w:top w:val="none" w:sz="0" w:space="0" w:color="auto"/>
        <w:left w:val="none" w:sz="0" w:space="0" w:color="auto"/>
        <w:bottom w:val="none" w:sz="0" w:space="0" w:color="auto"/>
        <w:right w:val="none" w:sz="0" w:space="0" w:color="auto"/>
      </w:divBdr>
    </w:div>
    <w:div w:id="359206160">
      <w:bodyDiv w:val="1"/>
      <w:marLeft w:val="0"/>
      <w:marRight w:val="0"/>
      <w:marTop w:val="0"/>
      <w:marBottom w:val="0"/>
      <w:divBdr>
        <w:top w:val="none" w:sz="0" w:space="0" w:color="auto"/>
        <w:left w:val="none" w:sz="0" w:space="0" w:color="auto"/>
        <w:bottom w:val="none" w:sz="0" w:space="0" w:color="auto"/>
        <w:right w:val="none" w:sz="0" w:space="0" w:color="auto"/>
      </w:divBdr>
    </w:div>
    <w:div w:id="369300644">
      <w:bodyDiv w:val="1"/>
      <w:marLeft w:val="0"/>
      <w:marRight w:val="0"/>
      <w:marTop w:val="0"/>
      <w:marBottom w:val="0"/>
      <w:divBdr>
        <w:top w:val="none" w:sz="0" w:space="0" w:color="auto"/>
        <w:left w:val="none" w:sz="0" w:space="0" w:color="auto"/>
        <w:bottom w:val="none" w:sz="0" w:space="0" w:color="auto"/>
        <w:right w:val="none" w:sz="0" w:space="0" w:color="auto"/>
      </w:divBdr>
    </w:div>
    <w:div w:id="396898038">
      <w:bodyDiv w:val="1"/>
      <w:marLeft w:val="0"/>
      <w:marRight w:val="0"/>
      <w:marTop w:val="0"/>
      <w:marBottom w:val="0"/>
      <w:divBdr>
        <w:top w:val="none" w:sz="0" w:space="0" w:color="auto"/>
        <w:left w:val="none" w:sz="0" w:space="0" w:color="auto"/>
        <w:bottom w:val="none" w:sz="0" w:space="0" w:color="auto"/>
        <w:right w:val="none" w:sz="0" w:space="0" w:color="auto"/>
      </w:divBdr>
    </w:div>
    <w:div w:id="419453050">
      <w:bodyDiv w:val="1"/>
      <w:marLeft w:val="0"/>
      <w:marRight w:val="0"/>
      <w:marTop w:val="0"/>
      <w:marBottom w:val="0"/>
      <w:divBdr>
        <w:top w:val="none" w:sz="0" w:space="0" w:color="auto"/>
        <w:left w:val="none" w:sz="0" w:space="0" w:color="auto"/>
        <w:bottom w:val="none" w:sz="0" w:space="0" w:color="auto"/>
        <w:right w:val="none" w:sz="0" w:space="0" w:color="auto"/>
      </w:divBdr>
    </w:div>
    <w:div w:id="422923344">
      <w:bodyDiv w:val="1"/>
      <w:marLeft w:val="0"/>
      <w:marRight w:val="0"/>
      <w:marTop w:val="0"/>
      <w:marBottom w:val="0"/>
      <w:divBdr>
        <w:top w:val="none" w:sz="0" w:space="0" w:color="auto"/>
        <w:left w:val="none" w:sz="0" w:space="0" w:color="auto"/>
        <w:bottom w:val="none" w:sz="0" w:space="0" w:color="auto"/>
        <w:right w:val="none" w:sz="0" w:space="0" w:color="auto"/>
      </w:divBdr>
      <w:divsChild>
        <w:div w:id="326322225">
          <w:marLeft w:val="446"/>
          <w:marRight w:val="0"/>
          <w:marTop w:val="0"/>
          <w:marBottom w:val="240"/>
          <w:divBdr>
            <w:top w:val="none" w:sz="0" w:space="0" w:color="auto"/>
            <w:left w:val="none" w:sz="0" w:space="0" w:color="auto"/>
            <w:bottom w:val="none" w:sz="0" w:space="0" w:color="auto"/>
            <w:right w:val="none" w:sz="0" w:space="0" w:color="auto"/>
          </w:divBdr>
        </w:div>
      </w:divsChild>
    </w:div>
    <w:div w:id="448202881">
      <w:bodyDiv w:val="1"/>
      <w:marLeft w:val="0"/>
      <w:marRight w:val="0"/>
      <w:marTop w:val="0"/>
      <w:marBottom w:val="0"/>
      <w:divBdr>
        <w:top w:val="none" w:sz="0" w:space="0" w:color="auto"/>
        <w:left w:val="none" w:sz="0" w:space="0" w:color="auto"/>
        <w:bottom w:val="none" w:sz="0" w:space="0" w:color="auto"/>
        <w:right w:val="none" w:sz="0" w:space="0" w:color="auto"/>
      </w:divBdr>
    </w:div>
    <w:div w:id="540439708">
      <w:bodyDiv w:val="1"/>
      <w:marLeft w:val="0"/>
      <w:marRight w:val="0"/>
      <w:marTop w:val="0"/>
      <w:marBottom w:val="0"/>
      <w:divBdr>
        <w:top w:val="none" w:sz="0" w:space="0" w:color="auto"/>
        <w:left w:val="none" w:sz="0" w:space="0" w:color="auto"/>
        <w:bottom w:val="none" w:sz="0" w:space="0" w:color="auto"/>
        <w:right w:val="none" w:sz="0" w:space="0" w:color="auto"/>
      </w:divBdr>
    </w:div>
    <w:div w:id="547834802">
      <w:bodyDiv w:val="1"/>
      <w:marLeft w:val="0"/>
      <w:marRight w:val="0"/>
      <w:marTop w:val="0"/>
      <w:marBottom w:val="0"/>
      <w:divBdr>
        <w:top w:val="none" w:sz="0" w:space="0" w:color="auto"/>
        <w:left w:val="none" w:sz="0" w:space="0" w:color="auto"/>
        <w:bottom w:val="none" w:sz="0" w:space="0" w:color="auto"/>
        <w:right w:val="none" w:sz="0" w:space="0" w:color="auto"/>
      </w:divBdr>
    </w:div>
    <w:div w:id="554392941">
      <w:bodyDiv w:val="1"/>
      <w:marLeft w:val="0"/>
      <w:marRight w:val="0"/>
      <w:marTop w:val="0"/>
      <w:marBottom w:val="0"/>
      <w:divBdr>
        <w:top w:val="none" w:sz="0" w:space="0" w:color="auto"/>
        <w:left w:val="none" w:sz="0" w:space="0" w:color="auto"/>
        <w:bottom w:val="none" w:sz="0" w:space="0" w:color="auto"/>
        <w:right w:val="none" w:sz="0" w:space="0" w:color="auto"/>
      </w:divBdr>
    </w:div>
    <w:div w:id="622735052">
      <w:bodyDiv w:val="1"/>
      <w:marLeft w:val="0"/>
      <w:marRight w:val="0"/>
      <w:marTop w:val="0"/>
      <w:marBottom w:val="0"/>
      <w:divBdr>
        <w:top w:val="none" w:sz="0" w:space="0" w:color="auto"/>
        <w:left w:val="none" w:sz="0" w:space="0" w:color="auto"/>
        <w:bottom w:val="none" w:sz="0" w:space="0" w:color="auto"/>
        <w:right w:val="none" w:sz="0" w:space="0" w:color="auto"/>
      </w:divBdr>
    </w:div>
    <w:div w:id="630206102">
      <w:bodyDiv w:val="1"/>
      <w:marLeft w:val="0"/>
      <w:marRight w:val="0"/>
      <w:marTop w:val="0"/>
      <w:marBottom w:val="0"/>
      <w:divBdr>
        <w:top w:val="none" w:sz="0" w:space="0" w:color="auto"/>
        <w:left w:val="none" w:sz="0" w:space="0" w:color="auto"/>
        <w:bottom w:val="none" w:sz="0" w:space="0" w:color="auto"/>
        <w:right w:val="none" w:sz="0" w:space="0" w:color="auto"/>
      </w:divBdr>
    </w:div>
    <w:div w:id="637303152">
      <w:bodyDiv w:val="1"/>
      <w:marLeft w:val="0"/>
      <w:marRight w:val="0"/>
      <w:marTop w:val="0"/>
      <w:marBottom w:val="0"/>
      <w:divBdr>
        <w:top w:val="none" w:sz="0" w:space="0" w:color="auto"/>
        <w:left w:val="none" w:sz="0" w:space="0" w:color="auto"/>
        <w:bottom w:val="none" w:sz="0" w:space="0" w:color="auto"/>
        <w:right w:val="none" w:sz="0" w:space="0" w:color="auto"/>
      </w:divBdr>
    </w:div>
    <w:div w:id="663894677">
      <w:bodyDiv w:val="1"/>
      <w:marLeft w:val="0"/>
      <w:marRight w:val="0"/>
      <w:marTop w:val="0"/>
      <w:marBottom w:val="0"/>
      <w:divBdr>
        <w:top w:val="none" w:sz="0" w:space="0" w:color="auto"/>
        <w:left w:val="none" w:sz="0" w:space="0" w:color="auto"/>
        <w:bottom w:val="none" w:sz="0" w:space="0" w:color="auto"/>
        <w:right w:val="none" w:sz="0" w:space="0" w:color="auto"/>
      </w:divBdr>
    </w:div>
    <w:div w:id="664672366">
      <w:bodyDiv w:val="1"/>
      <w:marLeft w:val="0"/>
      <w:marRight w:val="0"/>
      <w:marTop w:val="0"/>
      <w:marBottom w:val="0"/>
      <w:divBdr>
        <w:top w:val="none" w:sz="0" w:space="0" w:color="auto"/>
        <w:left w:val="none" w:sz="0" w:space="0" w:color="auto"/>
        <w:bottom w:val="none" w:sz="0" w:space="0" w:color="auto"/>
        <w:right w:val="none" w:sz="0" w:space="0" w:color="auto"/>
      </w:divBdr>
    </w:div>
    <w:div w:id="670525806">
      <w:bodyDiv w:val="1"/>
      <w:marLeft w:val="0"/>
      <w:marRight w:val="0"/>
      <w:marTop w:val="0"/>
      <w:marBottom w:val="0"/>
      <w:divBdr>
        <w:top w:val="none" w:sz="0" w:space="0" w:color="auto"/>
        <w:left w:val="none" w:sz="0" w:space="0" w:color="auto"/>
        <w:bottom w:val="none" w:sz="0" w:space="0" w:color="auto"/>
        <w:right w:val="none" w:sz="0" w:space="0" w:color="auto"/>
      </w:divBdr>
    </w:div>
    <w:div w:id="672798937">
      <w:bodyDiv w:val="1"/>
      <w:marLeft w:val="0"/>
      <w:marRight w:val="0"/>
      <w:marTop w:val="0"/>
      <w:marBottom w:val="0"/>
      <w:divBdr>
        <w:top w:val="none" w:sz="0" w:space="0" w:color="auto"/>
        <w:left w:val="none" w:sz="0" w:space="0" w:color="auto"/>
        <w:bottom w:val="none" w:sz="0" w:space="0" w:color="auto"/>
        <w:right w:val="none" w:sz="0" w:space="0" w:color="auto"/>
      </w:divBdr>
    </w:div>
    <w:div w:id="703287902">
      <w:bodyDiv w:val="1"/>
      <w:marLeft w:val="0"/>
      <w:marRight w:val="0"/>
      <w:marTop w:val="0"/>
      <w:marBottom w:val="0"/>
      <w:divBdr>
        <w:top w:val="none" w:sz="0" w:space="0" w:color="auto"/>
        <w:left w:val="none" w:sz="0" w:space="0" w:color="auto"/>
        <w:bottom w:val="none" w:sz="0" w:space="0" w:color="auto"/>
        <w:right w:val="none" w:sz="0" w:space="0" w:color="auto"/>
      </w:divBdr>
    </w:div>
    <w:div w:id="722752383">
      <w:bodyDiv w:val="1"/>
      <w:marLeft w:val="0"/>
      <w:marRight w:val="0"/>
      <w:marTop w:val="0"/>
      <w:marBottom w:val="0"/>
      <w:divBdr>
        <w:top w:val="none" w:sz="0" w:space="0" w:color="auto"/>
        <w:left w:val="none" w:sz="0" w:space="0" w:color="auto"/>
        <w:bottom w:val="none" w:sz="0" w:space="0" w:color="auto"/>
        <w:right w:val="none" w:sz="0" w:space="0" w:color="auto"/>
      </w:divBdr>
    </w:div>
    <w:div w:id="743571505">
      <w:bodyDiv w:val="1"/>
      <w:marLeft w:val="0"/>
      <w:marRight w:val="0"/>
      <w:marTop w:val="0"/>
      <w:marBottom w:val="0"/>
      <w:divBdr>
        <w:top w:val="none" w:sz="0" w:space="0" w:color="auto"/>
        <w:left w:val="none" w:sz="0" w:space="0" w:color="auto"/>
        <w:bottom w:val="none" w:sz="0" w:space="0" w:color="auto"/>
        <w:right w:val="none" w:sz="0" w:space="0" w:color="auto"/>
      </w:divBdr>
    </w:div>
    <w:div w:id="789862024">
      <w:bodyDiv w:val="1"/>
      <w:marLeft w:val="0"/>
      <w:marRight w:val="0"/>
      <w:marTop w:val="0"/>
      <w:marBottom w:val="0"/>
      <w:divBdr>
        <w:top w:val="none" w:sz="0" w:space="0" w:color="auto"/>
        <w:left w:val="none" w:sz="0" w:space="0" w:color="auto"/>
        <w:bottom w:val="none" w:sz="0" w:space="0" w:color="auto"/>
        <w:right w:val="none" w:sz="0" w:space="0" w:color="auto"/>
      </w:divBdr>
    </w:div>
    <w:div w:id="789975648">
      <w:bodyDiv w:val="1"/>
      <w:marLeft w:val="0"/>
      <w:marRight w:val="0"/>
      <w:marTop w:val="0"/>
      <w:marBottom w:val="0"/>
      <w:divBdr>
        <w:top w:val="none" w:sz="0" w:space="0" w:color="auto"/>
        <w:left w:val="none" w:sz="0" w:space="0" w:color="auto"/>
        <w:bottom w:val="none" w:sz="0" w:space="0" w:color="auto"/>
        <w:right w:val="none" w:sz="0" w:space="0" w:color="auto"/>
      </w:divBdr>
    </w:div>
    <w:div w:id="793912020">
      <w:bodyDiv w:val="1"/>
      <w:marLeft w:val="0"/>
      <w:marRight w:val="0"/>
      <w:marTop w:val="0"/>
      <w:marBottom w:val="0"/>
      <w:divBdr>
        <w:top w:val="none" w:sz="0" w:space="0" w:color="auto"/>
        <w:left w:val="none" w:sz="0" w:space="0" w:color="auto"/>
        <w:bottom w:val="none" w:sz="0" w:space="0" w:color="auto"/>
        <w:right w:val="none" w:sz="0" w:space="0" w:color="auto"/>
      </w:divBdr>
    </w:div>
    <w:div w:id="826744126">
      <w:bodyDiv w:val="1"/>
      <w:marLeft w:val="0"/>
      <w:marRight w:val="0"/>
      <w:marTop w:val="0"/>
      <w:marBottom w:val="0"/>
      <w:divBdr>
        <w:top w:val="none" w:sz="0" w:space="0" w:color="auto"/>
        <w:left w:val="none" w:sz="0" w:space="0" w:color="auto"/>
        <w:bottom w:val="none" w:sz="0" w:space="0" w:color="auto"/>
        <w:right w:val="none" w:sz="0" w:space="0" w:color="auto"/>
      </w:divBdr>
    </w:div>
    <w:div w:id="832718877">
      <w:bodyDiv w:val="1"/>
      <w:marLeft w:val="0"/>
      <w:marRight w:val="0"/>
      <w:marTop w:val="0"/>
      <w:marBottom w:val="0"/>
      <w:divBdr>
        <w:top w:val="none" w:sz="0" w:space="0" w:color="auto"/>
        <w:left w:val="none" w:sz="0" w:space="0" w:color="auto"/>
        <w:bottom w:val="none" w:sz="0" w:space="0" w:color="auto"/>
        <w:right w:val="none" w:sz="0" w:space="0" w:color="auto"/>
      </w:divBdr>
    </w:div>
    <w:div w:id="864249328">
      <w:bodyDiv w:val="1"/>
      <w:marLeft w:val="0"/>
      <w:marRight w:val="0"/>
      <w:marTop w:val="0"/>
      <w:marBottom w:val="0"/>
      <w:divBdr>
        <w:top w:val="none" w:sz="0" w:space="0" w:color="auto"/>
        <w:left w:val="none" w:sz="0" w:space="0" w:color="auto"/>
        <w:bottom w:val="none" w:sz="0" w:space="0" w:color="auto"/>
        <w:right w:val="none" w:sz="0" w:space="0" w:color="auto"/>
      </w:divBdr>
    </w:div>
    <w:div w:id="866798953">
      <w:bodyDiv w:val="1"/>
      <w:marLeft w:val="0"/>
      <w:marRight w:val="0"/>
      <w:marTop w:val="0"/>
      <w:marBottom w:val="0"/>
      <w:divBdr>
        <w:top w:val="none" w:sz="0" w:space="0" w:color="auto"/>
        <w:left w:val="none" w:sz="0" w:space="0" w:color="auto"/>
        <w:bottom w:val="none" w:sz="0" w:space="0" w:color="auto"/>
        <w:right w:val="none" w:sz="0" w:space="0" w:color="auto"/>
      </w:divBdr>
    </w:div>
    <w:div w:id="884220379">
      <w:bodyDiv w:val="1"/>
      <w:marLeft w:val="0"/>
      <w:marRight w:val="0"/>
      <w:marTop w:val="0"/>
      <w:marBottom w:val="0"/>
      <w:divBdr>
        <w:top w:val="none" w:sz="0" w:space="0" w:color="auto"/>
        <w:left w:val="none" w:sz="0" w:space="0" w:color="auto"/>
        <w:bottom w:val="none" w:sz="0" w:space="0" w:color="auto"/>
        <w:right w:val="none" w:sz="0" w:space="0" w:color="auto"/>
      </w:divBdr>
    </w:div>
    <w:div w:id="900091085">
      <w:bodyDiv w:val="1"/>
      <w:marLeft w:val="0"/>
      <w:marRight w:val="0"/>
      <w:marTop w:val="0"/>
      <w:marBottom w:val="0"/>
      <w:divBdr>
        <w:top w:val="none" w:sz="0" w:space="0" w:color="auto"/>
        <w:left w:val="none" w:sz="0" w:space="0" w:color="auto"/>
        <w:bottom w:val="none" w:sz="0" w:space="0" w:color="auto"/>
        <w:right w:val="none" w:sz="0" w:space="0" w:color="auto"/>
      </w:divBdr>
    </w:div>
    <w:div w:id="904418755">
      <w:bodyDiv w:val="1"/>
      <w:marLeft w:val="0"/>
      <w:marRight w:val="0"/>
      <w:marTop w:val="0"/>
      <w:marBottom w:val="0"/>
      <w:divBdr>
        <w:top w:val="none" w:sz="0" w:space="0" w:color="auto"/>
        <w:left w:val="none" w:sz="0" w:space="0" w:color="auto"/>
        <w:bottom w:val="none" w:sz="0" w:space="0" w:color="auto"/>
        <w:right w:val="none" w:sz="0" w:space="0" w:color="auto"/>
      </w:divBdr>
    </w:div>
    <w:div w:id="908464976">
      <w:bodyDiv w:val="1"/>
      <w:marLeft w:val="0"/>
      <w:marRight w:val="0"/>
      <w:marTop w:val="0"/>
      <w:marBottom w:val="0"/>
      <w:divBdr>
        <w:top w:val="none" w:sz="0" w:space="0" w:color="auto"/>
        <w:left w:val="none" w:sz="0" w:space="0" w:color="auto"/>
        <w:bottom w:val="none" w:sz="0" w:space="0" w:color="auto"/>
        <w:right w:val="none" w:sz="0" w:space="0" w:color="auto"/>
      </w:divBdr>
    </w:div>
    <w:div w:id="935291808">
      <w:bodyDiv w:val="1"/>
      <w:marLeft w:val="0"/>
      <w:marRight w:val="0"/>
      <w:marTop w:val="0"/>
      <w:marBottom w:val="0"/>
      <w:divBdr>
        <w:top w:val="none" w:sz="0" w:space="0" w:color="auto"/>
        <w:left w:val="none" w:sz="0" w:space="0" w:color="auto"/>
        <w:bottom w:val="none" w:sz="0" w:space="0" w:color="auto"/>
        <w:right w:val="none" w:sz="0" w:space="0" w:color="auto"/>
      </w:divBdr>
    </w:div>
    <w:div w:id="937059285">
      <w:bodyDiv w:val="1"/>
      <w:marLeft w:val="0"/>
      <w:marRight w:val="0"/>
      <w:marTop w:val="0"/>
      <w:marBottom w:val="0"/>
      <w:divBdr>
        <w:top w:val="none" w:sz="0" w:space="0" w:color="auto"/>
        <w:left w:val="none" w:sz="0" w:space="0" w:color="auto"/>
        <w:bottom w:val="none" w:sz="0" w:space="0" w:color="auto"/>
        <w:right w:val="none" w:sz="0" w:space="0" w:color="auto"/>
      </w:divBdr>
    </w:div>
    <w:div w:id="937567684">
      <w:bodyDiv w:val="1"/>
      <w:marLeft w:val="0"/>
      <w:marRight w:val="0"/>
      <w:marTop w:val="0"/>
      <w:marBottom w:val="0"/>
      <w:divBdr>
        <w:top w:val="none" w:sz="0" w:space="0" w:color="auto"/>
        <w:left w:val="none" w:sz="0" w:space="0" w:color="auto"/>
        <w:bottom w:val="none" w:sz="0" w:space="0" w:color="auto"/>
        <w:right w:val="none" w:sz="0" w:space="0" w:color="auto"/>
      </w:divBdr>
    </w:div>
    <w:div w:id="940182243">
      <w:bodyDiv w:val="1"/>
      <w:marLeft w:val="0"/>
      <w:marRight w:val="0"/>
      <w:marTop w:val="0"/>
      <w:marBottom w:val="0"/>
      <w:divBdr>
        <w:top w:val="none" w:sz="0" w:space="0" w:color="auto"/>
        <w:left w:val="none" w:sz="0" w:space="0" w:color="auto"/>
        <w:bottom w:val="none" w:sz="0" w:space="0" w:color="auto"/>
        <w:right w:val="none" w:sz="0" w:space="0" w:color="auto"/>
      </w:divBdr>
    </w:div>
    <w:div w:id="946883843">
      <w:bodyDiv w:val="1"/>
      <w:marLeft w:val="0"/>
      <w:marRight w:val="0"/>
      <w:marTop w:val="0"/>
      <w:marBottom w:val="0"/>
      <w:divBdr>
        <w:top w:val="none" w:sz="0" w:space="0" w:color="auto"/>
        <w:left w:val="none" w:sz="0" w:space="0" w:color="auto"/>
        <w:bottom w:val="none" w:sz="0" w:space="0" w:color="auto"/>
        <w:right w:val="none" w:sz="0" w:space="0" w:color="auto"/>
      </w:divBdr>
    </w:div>
    <w:div w:id="949896585">
      <w:bodyDiv w:val="1"/>
      <w:marLeft w:val="0"/>
      <w:marRight w:val="0"/>
      <w:marTop w:val="0"/>
      <w:marBottom w:val="0"/>
      <w:divBdr>
        <w:top w:val="none" w:sz="0" w:space="0" w:color="auto"/>
        <w:left w:val="none" w:sz="0" w:space="0" w:color="auto"/>
        <w:bottom w:val="none" w:sz="0" w:space="0" w:color="auto"/>
        <w:right w:val="none" w:sz="0" w:space="0" w:color="auto"/>
      </w:divBdr>
    </w:div>
    <w:div w:id="960187860">
      <w:bodyDiv w:val="1"/>
      <w:marLeft w:val="0"/>
      <w:marRight w:val="0"/>
      <w:marTop w:val="0"/>
      <w:marBottom w:val="0"/>
      <w:divBdr>
        <w:top w:val="none" w:sz="0" w:space="0" w:color="auto"/>
        <w:left w:val="none" w:sz="0" w:space="0" w:color="auto"/>
        <w:bottom w:val="none" w:sz="0" w:space="0" w:color="auto"/>
        <w:right w:val="none" w:sz="0" w:space="0" w:color="auto"/>
      </w:divBdr>
    </w:div>
    <w:div w:id="960260325">
      <w:bodyDiv w:val="1"/>
      <w:marLeft w:val="0"/>
      <w:marRight w:val="0"/>
      <w:marTop w:val="0"/>
      <w:marBottom w:val="0"/>
      <w:divBdr>
        <w:top w:val="none" w:sz="0" w:space="0" w:color="auto"/>
        <w:left w:val="none" w:sz="0" w:space="0" w:color="auto"/>
        <w:bottom w:val="none" w:sz="0" w:space="0" w:color="auto"/>
        <w:right w:val="none" w:sz="0" w:space="0" w:color="auto"/>
      </w:divBdr>
    </w:div>
    <w:div w:id="1014696240">
      <w:bodyDiv w:val="1"/>
      <w:marLeft w:val="0"/>
      <w:marRight w:val="0"/>
      <w:marTop w:val="0"/>
      <w:marBottom w:val="0"/>
      <w:divBdr>
        <w:top w:val="none" w:sz="0" w:space="0" w:color="auto"/>
        <w:left w:val="none" w:sz="0" w:space="0" w:color="auto"/>
        <w:bottom w:val="none" w:sz="0" w:space="0" w:color="auto"/>
        <w:right w:val="none" w:sz="0" w:space="0" w:color="auto"/>
      </w:divBdr>
    </w:div>
    <w:div w:id="1169324099">
      <w:bodyDiv w:val="1"/>
      <w:marLeft w:val="0"/>
      <w:marRight w:val="0"/>
      <w:marTop w:val="0"/>
      <w:marBottom w:val="0"/>
      <w:divBdr>
        <w:top w:val="none" w:sz="0" w:space="0" w:color="auto"/>
        <w:left w:val="none" w:sz="0" w:space="0" w:color="auto"/>
        <w:bottom w:val="none" w:sz="0" w:space="0" w:color="auto"/>
        <w:right w:val="none" w:sz="0" w:space="0" w:color="auto"/>
      </w:divBdr>
    </w:div>
    <w:div w:id="1196236430">
      <w:bodyDiv w:val="1"/>
      <w:marLeft w:val="0"/>
      <w:marRight w:val="0"/>
      <w:marTop w:val="0"/>
      <w:marBottom w:val="0"/>
      <w:divBdr>
        <w:top w:val="none" w:sz="0" w:space="0" w:color="auto"/>
        <w:left w:val="none" w:sz="0" w:space="0" w:color="auto"/>
        <w:bottom w:val="none" w:sz="0" w:space="0" w:color="auto"/>
        <w:right w:val="none" w:sz="0" w:space="0" w:color="auto"/>
      </w:divBdr>
    </w:div>
    <w:div w:id="1262100925">
      <w:bodyDiv w:val="1"/>
      <w:marLeft w:val="0"/>
      <w:marRight w:val="0"/>
      <w:marTop w:val="0"/>
      <w:marBottom w:val="0"/>
      <w:divBdr>
        <w:top w:val="none" w:sz="0" w:space="0" w:color="auto"/>
        <w:left w:val="none" w:sz="0" w:space="0" w:color="auto"/>
        <w:bottom w:val="none" w:sz="0" w:space="0" w:color="auto"/>
        <w:right w:val="none" w:sz="0" w:space="0" w:color="auto"/>
      </w:divBdr>
    </w:div>
    <w:div w:id="1276016209">
      <w:bodyDiv w:val="1"/>
      <w:marLeft w:val="0"/>
      <w:marRight w:val="0"/>
      <w:marTop w:val="0"/>
      <w:marBottom w:val="0"/>
      <w:divBdr>
        <w:top w:val="none" w:sz="0" w:space="0" w:color="auto"/>
        <w:left w:val="none" w:sz="0" w:space="0" w:color="auto"/>
        <w:bottom w:val="none" w:sz="0" w:space="0" w:color="auto"/>
        <w:right w:val="none" w:sz="0" w:space="0" w:color="auto"/>
      </w:divBdr>
    </w:div>
    <w:div w:id="1291278200">
      <w:bodyDiv w:val="1"/>
      <w:marLeft w:val="0"/>
      <w:marRight w:val="0"/>
      <w:marTop w:val="0"/>
      <w:marBottom w:val="0"/>
      <w:divBdr>
        <w:top w:val="none" w:sz="0" w:space="0" w:color="auto"/>
        <w:left w:val="none" w:sz="0" w:space="0" w:color="auto"/>
        <w:bottom w:val="none" w:sz="0" w:space="0" w:color="auto"/>
        <w:right w:val="none" w:sz="0" w:space="0" w:color="auto"/>
      </w:divBdr>
    </w:div>
    <w:div w:id="1316952973">
      <w:bodyDiv w:val="1"/>
      <w:marLeft w:val="0"/>
      <w:marRight w:val="0"/>
      <w:marTop w:val="0"/>
      <w:marBottom w:val="0"/>
      <w:divBdr>
        <w:top w:val="none" w:sz="0" w:space="0" w:color="auto"/>
        <w:left w:val="none" w:sz="0" w:space="0" w:color="auto"/>
        <w:bottom w:val="none" w:sz="0" w:space="0" w:color="auto"/>
        <w:right w:val="none" w:sz="0" w:space="0" w:color="auto"/>
      </w:divBdr>
    </w:div>
    <w:div w:id="1330716369">
      <w:bodyDiv w:val="1"/>
      <w:marLeft w:val="0"/>
      <w:marRight w:val="0"/>
      <w:marTop w:val="0"/>
      <w:marBottom w:val="0"/>
      <w:divBdr>
        <w:top w:val="none" w:sz="0" w:space="0" w:color="auto"/>
        <w:left w:val="none" w:sz="0" w:space="0" w:color="auto"/>
        <w:bottom w:val="none" w:sz="0" w:space="0" w:color="auto"/>
        <w:right w:val="none" w:sz="0" w:space="0" w:color="auto"/>
      </w:divBdr>
    </w:div>
    <w:div w:id="1341619280">
      <w:bodyDiv w:val="1"/>
      <w:marLeft w:val="0"/>
      <w:marRight w:val="0"/>
      <w:marTop w:val="0"/>
      <w:marBottom w:val="0"/>
      <w:divBdr>
        <w:top w:val="none" w:sz="0" w:space="0" w:color="auto"/>
        <w:left w:val="none" w:sz="0" w:space="0" w:color="auto"/>
        <w:bottom w:val="none" w:sz="0" w:space="0" w:color="auto"/>
        <w:right w:val="none" w:sz="0" w:space="0" w:color="auto"/>
      </w:divBdr>
    </w:div>
    <w:div w:id="1401712500">
      <w:bodyDiv w:val="1"/>
      <w:marLeft w:val="0"/>
      <w:marRight w:val="0"/>
      <w:marTop w:val="0"/>
      <w:marBottom w:val="0"/>
      <w:divBdr>
        <w:top w:val="none" w:sz="0" w:space="0" w:color="auto"/>
        <w:left w:val="none" w:sz="0" w:space="0" w:color="auto"/>
        <w:bottom w:val="none" w:sz="0" w:space="0" w:color="auto"/>
        <w:right w:val="none" w:sz="0" w:space="0" w:color="auto"/>
      </w:divBdr>
    </w:div>
    <w:div w:id="1409811928">
      <w:bodyDiv w:val="1"/>
      <w:marLeft w:val="0"/>
      <w:marRight w:val="0"/>
      <w:marTop w:val="0"/>
      <w:marBottom w:val="0"/>
      <w:divBdr>
        <w:top w:val="none" w:sz="0" w:space="0" w:color="auto"/>
        <w:left w:val="none" w:sz="0" w:space="0" w:color="auto"/>
        <w:bottom w:val="none" w:sz="0" w:space="0" w:color="auto"/>
        <w:right w:val="none" w:sz="0" w:space="0" w:color="auto"/>
      </w:divBdr>
    </w:div>
    <w:div w:id="1425540782">
      <w:bodyDiv w:val="1"/>
      <w:marLeft w:val="0"/>
      <w:marRight w:val="0"/>
      <w:marTop w:val="0"/>
      <w:marBottom w:val="0"/>
      <w:divBdr>
        <w:top w:val="none" w:sz="0" w:space="0" w:color="auto"/>
        <w:left w:val="none" w:sz="0" w:space="0" w:color="auto"/>
        <w:bottom w:val="none" w:sz="0" w:space="0" w:color="auto"/>
        <w:right w:val="none" w:sz="0" w:space="0" w:color="auto"/>
      </w:divBdr>
    </w:div>
    <w:div w:id="1495144190">
      <w:bodyDiv w:val="1"/>
      <w:marLeft w:val="0"/>
      <w:marRight w:val="0"/>
      <w:marTop w:val="0"/>
      <w:marBottom w:val="0"/>
      <w:divBdr>
        <w:top w:val="none" w:sz="0" w:space="0" w:color="auto"/>
        <w:left w:val="none" w:sz="0" w:space="0" w:color="auto"/>
        <w:bottom w:val="none" w:sz="0" w:space="0" w:color="auto"/>
        <w:right w:val="none" w:sz="0" w:space="0" w:color="auto"/>
      </w:divBdr>
    </w:div>
    <w:div w:id="1545101033">
      <w:bodyDiv w:val="1"/>
      <w:marLeft w:val="0"/>
      <w:marRight w:val="0"/>
      <w:marTop w:val="0"/>
      <w:marBottom w:val="0"/>
      <w:divBdr>
        <w:top w:val="none" w:sz="0" w:space="0" w:color="auto"/>
        <w:left w:val="none" w:sz="0" w:space="0" w:color="auto"/>
        <w:bottom w:val="none" w:sz="0" w:space="0" w:color="auto"/>
        <w:right w:val="none" w:sz="0" w:space="0" w:color="auto"/>
      </w:divBdr>
    </w:div>
    <w:div w:id="1589848625">
      <w:bodyDiv w:val="1"/>
      <w:marLeft w:val="0"/>
      <w:marRight w:val="0"/>
      <w:marTop w:val="0"/>
      <w:marBottom w:val="0"/>
      <w:divBdr>
        <w:top w:val="none" w:sz="0" w:space="0" w:color="auto"/>
        <w:left w:val="none" w:sz="0" w:space="0" w:color="auto"/>
        <w:bottom w:val="none" w:sz="0" w:space="0" w:color="auto"/>
        <w:right w:val="none" w:sz="0" w:space="0" w:color="auto"/>
      </w:divBdr>
    </w:div>
    <w:div w:id="1612007504">
      <w:bodyDiv w:val="1"/>
      <w:marLeft w:val="0"/>
      <w:marRight w:val="0"/>
      <w:marTop w:val="0"/>
      <w:marBottom w:val="0"/>
      <w:divBdr>
        <w:top w:val="none" w:sz="0" w:space="0" w:color="auto"/>
        <w:left w:val="none" w:sz="0" w:space="0" w:color="auto"/>
        <w:bottom w:val="none" w:sz="0" w:space="0" w:color="auto"/>
        <w:right w:val="none" w:sz="0" w:space="0" w:color="auto"/>
      </w:divBdr>
    </w:div>
    <w:div w:id="1617256495">
      <w:bodyDiv w:val="1"/>
      <w:marLeft w:val="0"/>
      <w:marRight w:val="0"/>
      <w:marTop w:val="0"/>
      <w:marBottom w:val="0"/>
      <w:divBdr>
        <w:top w:val="none" w:sz="0" w:space="0" w:color="auto"/>
        <w:left w:val="none" w:sz="0" w:space="0" w:color="auto"/>
        <w:bottom w:val="none" w:sz="0" w:space="0" w:color="auto"/>
        <w:right w:val="none" w:sz="0" w:space="0" w:color="auto"/>
      </w:divBdr>
    </w:div>
    <w:div w:id="1630162416">
      <w:bodyDiv w:val="1"/>
      <w:marLeft w:val="0"/>
      <w:marRight w:val="0"/>
      <w:marTop w:val="0"/>
      <w:marBottom w:val="0"/>
      <w:divBdr>
        <w:top w:val="none" w:sz="0" w:space="0" w:color="auto"/>
        <w:left w:val="none" w:sz="0" w:space="0" w:color="auto"/>
        <w:bottom w:val="none" w:sz="0" w:space="0" w:color="auto"/>
        <w:right w:val="none" w:sz="0" w:space="0" w:color="auto"/>
      </w:divBdr>
    </w:div>
    <w:div w:id="1772777941">
      <w:bodyDiv w:val="1"/>
      <w:marLeft w:val="0"/>
      <w:marRight w:val="0"/>
      <w:marTop w:val="0"/>
      <w:marBottom w:val="0"/>
      <w:divBdr>
        <w:top w:val="none" w:sz="0" w:space="0" w:color="auto"/>
        <w:left w:val="none" w:sz="0" w:space="0" w:color="auto"/>
        <w:bottom w:val="none" w:sz="0" w:space="0" w:color="auto"/>
        <w:right w:val="none" w:sz="0" w:space="0" w:color="auto"/>
      </w:divBdr>
    </w:div>
    <w:div w:id="1780485936">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49320374">
      <w:bodyDiv w:val="1"/>
      <w:marLeft w:val="0"/>
      <w:marRight w:val="0"/>
      <w:marTop w:val="0"/>
      <w:marBottom w:val="0"/>
      <w:divBdr>
        <w:top w:val="none" w:sz="0" w:space="0" w:color="auto"/>
        <w:left w:val="none" w:sz="0" w:space="0" w:color="auto"/>
        <w:bottom w:val="none" w:sz="0" w:space="0" w:color="auto"/>
        <w:right w:val="none" w:sz="0" w:space="0" w:color="auto"/>
      </w:divBdr>
    </w:div>
    <w:div w:id="1856073052">
      <w:bodyDiv w:val="1"/>
      <w:marLeft w:val="0"/>
      <w:marRight w:val="0"/>
      <w:marTop w:val="0"/>
      <w:marBottom w:val="0"/>
      <w:divBdr>
        <w:top w:val="none" w:sz="0" w:space="0" w:color="auto"/>
        <w:left w:val="none" w:sz="0" w:space="0" w:color="auto"/>
        <w:bottom w:val="none" w:sz="0" w:space="0" w:color="auto"/>
        <w:right w:val="none" w:sz="0" w:space="0" w:color="auto"/>
      </w:divBdr>
    </w:div>
    <w:div w:id="1869099566">
      <w:bodyDiv w:val="1"/>
      <w:marLeft w:val="0"/>
      <w:marRight w:val="0"/>
      <w:marTop w:val="0"/>
      <w:marBottom w:val="0"/>
      <w:divBdr>
        <w:top w:val="none" w:sz="0" w:space="0" w:color="auto"/>
        <w:left w:val="none" w:sz="0" w:space="0" w:color="auto"/>
        <w:bottom w:val="none" w:sz="0" w:space="0" w:color="auto"/>
        <w:right w:val="none" w:sz="0" w:space="0" w:color="auto"/>
      </w:divBdr>
    </w:div>
    <w:div w:id="1875575855">
      <w:bodyDiv w:val="1"/>
      <w:marLeft w:val="0"/>
      <w:marRight w:val="0"/>
      <w:marTop w:val="0"/>
      <w:marBottom w:val="0"/>
      <w:divBdr>
        <w:top w:val="none" w:sz="0" w:space="0" w:color="auto"/>
        <w:left w:val="none" w:sz="0" w:space="0" w:color="auto"/>
        <w:bottom w:val="none" w:sz="0" w:space="0" w:color="auto"/>
        <w:right w:val="none" w:sz="0" w:space="0" w:color="auto"/>
      </w:divBdr>
    </w:div>
    <w:div w:id="1909340945">
      <w:bodyDiv w:val="1"/>
      <w:marLeft w:val="0"/>
      <w:marRight w:val="0"/>
      <w:marTop w:val="0"/>
      <w:marBottom w:val="0"/>
      <w:divBdr>
        <w:top w:val="none" w:sz="0" w:space="0" w:color="auto"/>
        <w:left w:val="none" w:sz="0" w:space="0" w:color="auto"/>
        <w:bottom w:val="none" w:sz="0" w:space="0" w:color="auto"/>
        <w:right w:val="none" w:sz="0" w:space="0" w:color="auto"/>
      </w:divBdr>
    </w:div>
    <w:div w:id="1970283142">
      <w:bodyDiv w:val="1"/>
      <w:marLeft w:val="0"/>
      <w:marRight w:val="0"/>
      <w:marTop w:val="0"/>
      <w:marBottom w:val="0"/>
      <w:divBdr>
        <w:top w:val="none" w:sz="0" w:space="0" w:color="auto"/>
        <w:left w:val="none" w:sz="0" w:space="0" w:color="auto"/>
        <w:bottom w:val="none" w:sz="0" w:space="0" w:color="auto"/>
        <w:right w:val="none" w:sz="0" w:space="0" w:color="auto"/>
      </w:divBdr>
    </w:div>
    <w:div w:id="1995835267">
      <w:bodyDiv w:val="1"/>
      <w:marLeft w:val="0"/>
      <w:marRight w:val="0"/>
      <w:marTop w:val="0"/>
      <w:marBottom w:val="0"/>
      <w:divBdr>
        <w:top w:val="none" w:sz="0" w:space="0" w:color="auto"/>
        <w:left w:val="none" w:sz="0" w:space="0" w:color="auto"/>
        <w:bottom w:val="none" w:sz="0" w:space="0" w:color="auto"/>
        <w:right w:val="none" w:sz="0" w:space="0" w:color="auto"/>
      </w:divBdr>
    </w:div>
    <w:div w:id="1997800440">
      <w:bodyDiv w:val="1"/>
      <w:marLeft w:val="0"/>
      <w:marRight w:val="0"/>
      <w:marTop w:val="0"/>
      <w:marBottom w:val="0"/>
      <w:divBdr>
        <w:top w:val="none" w:sz="0" w:space="0" w:color="auto"/>
        <w:left w:val="none" w:sz="0" w:space="0" w:color="auto"/>
        <w:bottom w:val="none" w:sz="0" w:space="0" w:color="auto"/>
        <w:right w:val="none" w:sz="0" w:space="0" w:color="auto"/>
      </w:divBdr>
    </w:div>
    <w:div w:id="2023778045">
      <w:bodyDiv w:val="1"/>
      <w:marLeft w:val="0"/>
      <w:marRight w:val="0"/>
      <w:marTop w:val="0"/>
      <w:marBottom w:val="0"/>
      <w:divBdr>
        <w:top w:val="none" w:sz="0" w:space="0" w:color="auto"/>
        <w:left w:val="none" w:sz="0" w:space="0" w:color="auto"/>
        <w:bottom w:val="none" w:sz="0" w:space="0" w:color="auto"/>
        <w:right w:val="none" w:sz="0" w:space="0" w:color="auto"/>
      </w:divBdr>
    </w:div>
    <w:div w:id="2071338923">
      <w:bodyDiv w:val="1"/>
      <w:marLeft w:val="0"/>
      <w:marRight w:val="0"/>
      <w:marTop w:val="0"/>
      <w:marBottom w:val="0"/>
      <w:divBdr>
        <w:top w:val="none" w:sz="0" w:space="0" w:color="auto"/>
        <w:left w:val="none" w:sz="0" w:space="0" w:color="auto"/>
        <w:bottom w:val="none" w:sz="0" w:space="0" w:color="auto"/>
        <w:right w:val="none" w:sz="0" w:space="0" w:color="auto"/>
      </w:divBdr>
    </w:div>
    <w:div w:id="2075853015">
      <w:bodyDiv w:val="1"/>
      <w:marLeft w:val="0"/>
      <w:marRight w:val="0"/>
      <w:marTop w:val="0"/>
      <w:marBottom w:val="0"/>
      <w:divBdr>
        <w:top w:val="none" w:sz="0" w:space="0" w:color="auto"/>
        <w:left w:val="none" w:sz="0" w:space="0" w:color="auto"/>
        <w:bottom w:val="none" w:sz="0" w:space="0" w:color="auto"/>
        <w:right w:val="none" w:sz="0" w:space="0" w:color="auto"/>
      </w:divBdr>
    </w:div>
    <w:div w:id="2076122505">
      <w:bodyDiv w:val="1"/>
      <w:marLeft w:val="0"/>
      <w:marRight w:val="0"/>
      <w:marTop w:val="0"/>
      <w:marBottom w:val="0"/>
      <w:divBdr>
        <w:top w:val="none" w:sz="0" w:space="0" w:color="auto"/>
        <w:left w:val="none" w:sz="0" w:space="0" w:color="auto"/>
        <w:bottom w:val="none" w:sz="0" w:space="0" w:color="auto"/>
        <w:right w:val="none" w:sz="0" w:space="0" w:color="auto"/>
      </w:divBdr>
    </w:div>
    <w:div w:id="2092698880">
      <w:bodyDiv w:val="1"/>
      <w:marLeft w:val="0"/>
      <w:marRight w:val="0"/>
      <w:marTop w:val="0"/>
      <w:marBottom w:val="0"/>
      <w:divBdr>
        <w:top w:val="none" w:sz="0" w:space="0" w:color="auto"/>
        <w:left w:val="none" w:sz="0" w:space="0" w:color="auto"/>
        <w:bottom w:val="none" w:sz="0" w:space="0" w:color="auto"/>
        <w:right w:val="none" w:sz="0" w:space="0" w:color="auto"/>
      </w:divBdr>
    </w:div>
    <w:div w:id="2105101397">
      <w:bodyDiv w:val="1"/>
      <w:marLeft w:val="0"/>
      <w:marRight w:val="0"/>
      <w:marTop w:val="0"/>
      <w:marBottom w:val="0"/>
      <w:divBdr>
        <w:top w:val="none" w:sz="0" w:space="0" w:color="auto"/>
        <w:left w:val="none" w:sz="0" w:space="0" w:color="auto"/>
        <w:bottom w:val="none" w:sz="0" w:space="0" w:color="auto"/>
        <w:right w:val="none" w:sz="0" w:space="0" w:color="auto"/>
      </w:divBdr>
    </w:div>
    <w:div w:id="21276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hyperlink" Target="https://gbr01.safelinks.protection.outlook.com/?url=https%3A%2F%2Fwww.ons.gov.uk%2Fpeoplepopulationandcommunity%2Fbirthsdeathsandmarriages%2Fdeaths%2Fdatasets%2Fsuicidesbylocalauthority&amp;data=05%7C02%7Cfrances.lowrey%40nhs.net%7C30f41c9170fc4e8d3e3208dd08ad709c%7C37c354b285b047f5b22207b48d774ee3%7C0%7C0%7C638676263236335972%7CUnknown%7CTWFpbGZsb3d8eyJFbXB0eU1hcGkiOnRydWUsIlYiOiIwLjAuMDAwMCIsIlAiOiJXaW4zMiIsIkFOIjoiTWFpbCIsIldUIjoyfQ%3D%3D%7C0%7C%7C%7C&amp;sdata=dhYn3qaC3i32w8%2B8UCEcjSqDspHfBDBkSS6ttUGXvQQ%3D&amp;reserved=0" TargetMode="External"/><Relationship Id="rId23" Type="http://schemas.openxmlformats.org/officeDocument/2006/relationships/diagramQuickStyle" Target="diagrams/quickStyle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diagramLayout" Target="diagrams/layout2.xm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oleObject" Target="file:///\\fsshr\shared\SUI%20Core%20Team\Mortality\Quarterly%20Mortality%20reports\2025\Apr-Jun%20Q1\Mortality%20Report%20-%20Quarter%204%202024-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shr\shared\SUI%20Core%20Team\Mortality\Quarterly%20Mortality%20reports\2025\Apr-Jun%20Q1\Mortality%20Report%20-%20Quarter%204%202024-2025.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sshr\shared\SUI%20Core%20Team\Mortality\Monthly%20mortality%20reports\Rolling%20data(AutoRecover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Mortality/</a:t>
            </a:r>
            <a:r>
              <a:rPr lang="en-US" sz="1400" baseline="0"/>
              <a:t> suspected suicide </a:t>
            </a:r>
            <a:r>
              <a:rPr lang="en-US" sz="1400"/>
              <a:t>incidents per quarter </a:t>
            </a:r>
          </a:p>
        </c:rich>
      </c:tx>
      <c:overlay val="0"/>
    </c:title>
    <c:autoTitleDeleted val="0"/>
    <c:plotArea>
      <c:layout/>
      <c:lineChart>
        <c:grouping val="standard"/>
        <c:varyColors val="0"/>
        <c:ser>
          <c:idx val="0"/>
          <c:order val="0"/>
          <c:tx>
            <c:strRef>
              <c:f>Data!$A$11</c:f>
              <c:strCache>
                <c:ptCount val="1"/>
                <c:pt idx="0">
                  <c:v>Suspected suicide</c:v>
                </c:pt>
              </c:strCache>
            </c:strRef>
          </c:tx>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Data!$B$10:$F$10</c:f>
              <c:strCache>
                <c:ptCount val="5"/>
                <c:pt idx="0">
                  <c:v>24/25 Q1</c:v>
                </c:pt>
                <c:pt idx="1">
                  <c:v>24/25 Q2</c:v>
                </c:pt>
                <c:pt idx="2">
                  <c:v>24/25 Q3</c:v>
                </c:pt>
                <c:pt idx="3">
                  <c:v>24/25 Q4</c:v>
                </c:pt>
                <c:pt idx="4">
                  <c:v>25/26 Q1</c:v>
                </c:pt>
              </c:strCache>
            </c:strRef>
          </c:cat>
          <c:val>
            <c:numRef>
              <c:f>Data!$B$11:$F$11</c:f>
              <c:numCache>
                <c:formatCode>General</c:formatCode>
                <c:ptCount val="5"/>
                <c:pt idx="0">
                  <c:v>13</c:v>
                </c:pt>
                <c:pt idx="1">
                  <c:v>16</c:v>
                </c:pt>
                <c:pt idx="2">
                  <c:v>12</c:v>
                </c:pt>
                <c:pt idx="3">
                  <c:v>17</c:v>
                </c:pt>
                <c:pt idx="4">
                  <c:v>14</c:v>
                </c:pt>
              </c:numCache>
            </c:numRef>
          </c:val>
          <c:smooth val="0"/>
          <c:extLst>
            <c:ext xmlns:c16="http://schemas.microsoft.com/office/drawing/2014/chart" uri="{C3380CC4-5D6E-409C-BE32-E72D297353CC}">
              <c16:uniqueId val="{00000000-0866-4EF4-8ED7-B52757D4F620}"/>
            </c:ext>
          </c:extLst>
        </c:ser>
        <c:ser>
          <c:idx val="1"/>
          <c:order val="1"/>
          <c:tx>
            <c:strRef>
              <c:f>Data!$A$12</c:f>
              <c:strCache>
                <c:ptCount val="1"/>
                <c:pt idx="0">
                  <c:v>Total</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Data!$B$10:$F$10</c:f>
              <c:strCache>
                <c:ptCount val="5"/>
                <c:pt idx="0">
                  <c:v>24/25 Q1</c:v>
                </c:pt>
                <c:pt idx="1">
                  <c:v>24/25 Q2</c:v>
                </c:pt>
                <c:pt idx="2">
                  <c:v>24/25 Q3</c:v>
                </c:pt>
                <c:pt idx="3">
                  <c:v>24/25 Q4</c:v>
                </c:pt>
                <c:pt idx="4">
                  <c:v>25/26 Q1</c:v>
                </c:pt>
              </c:strCache>
            </c:strRef>
          </c:cat>
          <c:val>
            <c:numRef>
              <c:f>Data!$B$12:$F$12</c:f>
              <c:numCache>
                <c:formatCode>General</c:formatCode>
                <c:ptCount val="5"/>
                <c:pt idx="0">
                  <c:v>428</c:v>
                </c:pt>
                <c:pt idx="1">
                  <c:v>382</c:v>
                </c:pt>
                <c:pt idx="2">
                  <c:v>385</c:v>
                </c:pt>
                <c:pt idx="3">
                  <c:v>526</c:v>
                </c:pt>
                <c:pt idx="4">
                  <c:v>411</c:v>
                </c:pt>
              </c:numCache>
            </c:numRef>
          </c:val>
          <c:smooth val="0"/>
          <c:extLst>
            <c:ext xmlns:c16="http://schemas.microsoft.com/office/drawing/2014/chart" uri="{C3380CC4-5D6E-409C-BE32-E72D297353CC}">
              <c16:uniqueId val="{00000001-0866-4EF4-8ED7-B52757D4F620}"/>
            </c:ext>
          </c:extLst>
        </c:ser>
        <c:dLbls>
          <c:showLegendKey val="0"/>
          <c:showVal val="1"/>
          <c:showCatName val="0"/>
          <c:showSerName val="0"/>
          <c:showPercent val="0"/>
          <c:showBubbleSize val="0"/>
        </c:dLbls>
        <c:marker val="1"/>
        <c:smooth val="0"/>
        <c:axId val="163281152"/>
        <c:axId val="158523392"/>
      </c:lineChart>
      <c:catAx>
        <c:axId val="163281152"/>
        <c:scaling>
          <c:orientation val="minMax"/>
        </c:scaling>
        <c:delete val="0"/>
        <c:axPos val="b"/>
        <c:numFmt formatCode="General" sourceLinked="0"/>
        <c:majorTickMark val="none"/>
        <c:minorTickMark val="none"/>
        <c:tickLblPos val="nextTo"/>
        <c:crossAx val="158523392"/>
        <c:crosses val="autoZero"/>
        <c:auto val="1"/>
        <c:lblAlgn val="ctr"/>
        <c:lblOffset val="100"/>
        <c:noMultiLvlLbl val="0"/>
      </c:catAx>
      <c:valAx>
        <c:axId val="158523392"/>
        <c:scaling>
          <c:orientation val="minMax"/>
        </c:scaling>
        <c:delete val="0"/>
        <c:axPos val="l"/>
        <c:majorGridlines/>
        <c:numFmt formatCode="General" sourceLinked="1"/>
        <c:majorTickMark val="none"/>
        <c:minorTickMark val="none"/>
        <c:tickLblPos val="nextTo"/>
        <c:crossAx val="16328115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u="sng"/>
              <a:t>All Reported Deaths by Gender</a:t>
            </a:r>
          </a:p>
        </c:rich>
      </c:tx>
      <c:overlay val="0"/>
    </c:title>
    <c:autoTitleDeleted val="0"/>
    <c:plotArea>
      <c:layout/>
      <c:barChart>
        <c:barDir val="col"/>
        <c:grouping val="clustered"/>
        <c:varyColors val="0"/>
        <c:ser>
          <c:idx val="0"/>
          <c:order val="0"/>
          <c:tx>
            <c:strRef>
              <c:f>'Age Ethnicity Gender'!$J$2</c:f>
              <c:strCache>
                <c:ptCount val="1"/>
                <c:pt idx="0">
                  <c:v>Female</c:v>
                </c:pt>
              </c:strCache>
            </c:strRef>
          </c:tx>
          <c:spPr>
            <a:solidFill>
              <a:schemeClr val="accent2"/>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'Age Ethnicity Gender'!$K$1:$P$1</c:f>
              <c:strCache>
                <c:ptCount val="6"/>
                <c:pt idx="0">
                  <c:v>23/24 Q4</c:v>
                </c:pt>
                <c:pt idx="1">
                  <c:v>24/25 Q1</c:v>
                </c:pt>
                <c:pt idx="2">
                  <c:v>24/25 Q2</c:v>
                </c:pt>
                <c:pt idx="3">
                  <c:v>24/25 Q3</c:v>
                </c:pt>
                <c:pt idx="4">
                  <c:v>24/25 Q4</c:v>
                </c:pt>
                <c:pt idx="5">
                  <c:v>25/26 Q1</c:v>
                </c:pt>
              </c:strCache>
            </c:strRef>
          </c:cat>
          <c:val>
            <c:numRef>
              <c:f>'Age Ethnicity Gender'!$K$2:$P$2</c:f>
              <c:numCache>
                <c:formatCode>General</c:formatCode>
                <c:ptCount val="6"/>
                <c:pt idx="0">
                  <c:v>227</c:v>
                </c:pt>
                <c:pt idx="1">
                  <c:v>213</c:v>
                </c:pt>
                <c:pt idx="2">
                  <c:v>183</c:v>
                </c:pt>
                <c:pt idx="3">
                  <c:v>180</c:v>
                </c:pt>
                <c:pt idx="4">
                  <c:v>244</c:v>
                </c:pt>
                <c:pt idx="5">
                  <c:v>196</c:v>
                </c:pt>
              </c:numCache>
            </c:numRef>
          </c:val>
          <c:extLst>
            <c:ext xmlns:c16="http://schemas.microsoft.com/office/drawing/2014/chart" uri="{C3380CC4-5D6E-409C-BE32-E72D297353CC}">
              <c16:uniqueId val="{00000000-5B6C-42DE-84FB-2BFAFDB86A66}"/>
            </c:ext>
          </c:extLst>
        </c:ser>
        <c:ser>
          <c:idx val="1"/>
          <c:order val="1"/>
          <c:tx>
            <c:strRef>
              <c:f>'Age Ethnicity Gender'!$J$3</c:f>
              <c:strCache>
                <c:ptCount val="1"/>
                <c:pt idx="0">
                  <c:v>Male</c:v>
                </c:pt>
              </c:strCache>
            </c:strRef>
          </c:tx>
          <c:spPr>
            <a:solidFill>
              <a:srgbClr val="00B0F0"/>
            </a:solidFill>
          </c:spPr>
          <c:invertIfNegative val="0"/>
          <c:dLbls>
            <c:spPr>
              <a:noFill/>
              <a:ln>
                <a:noFill/>
              </a:ln>
              <a:effectLst/>
            </c:spPr>
            <c:txPr>
              <a:bodyPr/>
              <a:lstStyle/>
              <a:p>
                <a:pPr>
                  <a:defRPr sz="900" b="1"/>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'Age Ethnicity Gender'!$K$1:$P$1</c:f>
              <c:strCache>
                <c:ptCount val="6"/>
                <c:pt idx="0">
                  <c:v>23/24 Q4</c:v>
                </c:pt>
                <c:pt idx="1">
                  <c:v>24/25 Q1</c:v>
                </c:pt>
                <c:pt idx="2">
                  <c:v>24/25 Q2</c:v>
                </c:pt>
                <c:pt idx="3">
                  <c:v>24/25 Q3</c:v>
                </c:pt>
                <c:pt idx="4">
                  <c:v>24/25 Q4</c:v>
                </c:pt>
                <c:pt idx="5">
                  <c:v>25/26 Q1</c:v>
                </c:pt>
              </c:strCache>
            </c:strRef>
          </c:cat>
          <c:val>
            <c:numRef>
              <c:f>'Age Ethnicity Gender'!$K$3:$P$3</c:f>
              <c:numCache>
                <c:formatCode>General</c:formatCode>
                <c:ptCount val="6"/>
                <c:pt idx="0">
                  <c:v>237</c:v>
                </c:pt>
                <c:pt idx="1">
                  <c:v>215</c:v>
                </c:pt>
                <c:pt idx="2">
                  <c:v>197</c:v>
                </c:pt>
                <c:pt idx="3">
                  <c:v>205</c:v>
                </c:pt>
                <c:pt idx="4">
                  <c:v>282</c:v>
                </c:pt>
                <c:pt idx="5">
                  <c:v>215</c:v>
                </c:pt>
              </c:numCache>
            </c:numRef>
          </c:val>
          <c:extLst>
            <c:ext xmlns:c16="http://schemas.microsoft.com/office/drawing/2014/chart" uri="{C3380CC4-5D6E-409C-BE32-E72D297353CC}">
              <c16:uniqueId val="{00000001-5B6C-42DE-84FB-2BFAFDB86A66}"/>
            </c:ext>
          </c:extLst>
        </c:ser>
        <c:dLbls>
          <c:showLegendKey val="0"/>
          <c:showVal val="0"/>
          <c:showCatName val="0"/>
          <c:showSerName val="0"/>
          <c:showPercent val="0"/>
          <c:showBubbleSize val="0"/>
        </c:dLbls>
        <c:gapWidth val="150"/>
        <c:axId val="162149888"/>
        <c:axId val="162151424"/>
      </c:barChart>
      <c:catAx>
        <c:axId val="162149888"/>
        <c:scaling>
          <c:orientation val="minMax"/>
        </c:scaling>
        <c:delete val="0"/>
        <c:axPos val="b"/>
        <c:numFmt formatCode="General" sourceLinked="0"/>
        <c:majorTickMark val="none"/>
        <c:minorTickMark val="none"/>
        <c:tickLblPos val="nextTo"/>
        <c:crossAx val="162151424"/>
        <c:crosses val="autoZero"/>
        <c:auto val="1"/>
        <c:lblAlgn val="ctr"/>
        <c:lblOffset val="100"/>
        <c:noMultiLvlLbl val="0"/>
      </c:catAx>
      <c:valAx>
        <c:axId val="162151424"/>
        <c:scaling>
          <c:orientation val="minMax"/>
        </c:scaling>
        <c:delete val="0"/>
        <c:axPos val="l"/>
        <c:majorGridlines/>
        <c:numFmt formatCode="General" sourceLinked="1"/>
        <c:majorTickMark val="none"/>
        <c:minorTickMark val="none"/>
        <c:tickLblPos val="nextTo"/>
        <c:crossAx val="1621498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Suicides</a:t>
            </a:r>
            <a:r>
              <a:rPr lang="en-GB" baseline="0"/>
              <a:t> by Gender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Suicides!$B$1</c:f>
              <c:strCache>
                <c:ptCount val="1"/>
                <c:pt idx="0">
                  <c:v>Male</c:v>
                </c:pt>
              </c:strCache>
            </c:strRef>
          </c:tx>
          <c:spPr>
            <a:ln w="28575" cap="rnd">
              <a:solidFill>
                <a:schemeClr val="accent1"/>
              </a:solidFill>
              <a:round/>
            </a:ln>
            <a:effectLst/>
          </c:spPr>
          <c:marker>
            <c:symbol val="none"/>
          </c:marker>
          <c:cat>
            <c:numRef>
              <c:f>Suicides!$A$2:$A$21</c:f>
              <c:numCache>
                <c:formatCode>mmm\-yy</c:formatCode>
                <c:ptCount val="20"/>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pt idx="12">
                  <c:v>45597</c:v>
                </c:pt>
                <c:pt idx="13">
                  <c:v>45627</c:v>
                </c:pt>
                <c:pt idx="14">
                  <c:v>45658</c:v>
                </c:pt>
                <c:pt idx="15">
                  <c:v>45689</c:v>
                </c:pt>
                <c:pt idx="16">
                  <c:v>45717</c:v>
                </c:pt>
                <c:pt idx="17">
                  <c:v>45748</c:v>
                </c:pt>
                <c:pt idx="18">
                  <c:v>45778</c:v>
                </c:pt>
                <c:pt idx="19">
                  <c:v>45809</c:v>
                </c:pt>
              </c:numCache>
            </c:numRef>
          </c:cat>
          <c:val>
            <c:numRef>
              <c:f>Suicides!$B$2:$B$21</c:f>
              <c:numCache>
                <c:formatCode>General</c:formatCode>
                <c:ptCount val="20"/>
                <c:pt idx="0">
                  <c:v>5</c:v>
                </c:pt>
                <c:pt idx="1">
                  <c:v>4</c:v>
                </c:pt>
                <c:pt idx="2">
                  <c:v>4</c:v>
                </c:pt>
                <c:pt idx="3">
                  <c:v>3</c:v>
                </c:pt>
                <c:pt idx="4">
                  <c:v>5</c:v>
                </c:pt>
                <c:pt idx="5">
                  <c:v>2</c:v>
                </c:pt>
                <c:pt idx="6">
                  <c:v>2</c:v>
                </c:pt>
                <c:pt idx="7">
                  <c:v>3</c:v>
                </c:pt>
                <c:pt idx="8">
                  <c:v>2</c:v>
                </c:pt>
                <c:pt idx="9">
                  <c:v>4</c:v>
                </c:pt>
                <c:pt idx="10">
                  <c:v>5</c:v>
                </c:pt>
                <c:pt idx="11">
                  <c:v>3</c:v>
                </c:pt>
                <c:pt idx="12">
                  <c:v>3</c:v>
                </c:pt>
                <c:pt idx="13">
                  <c:v>0</c:v>
                </c:pt>
                <c:pt idx="14">
                  <c:v>5</c:v>
                </c:pt>
                <c:pt idx="15">
                  <c:v>3</c:v>
                </c:pt>
                <c:pt idx="16">
                  <c:v>5</c:v>
                </c:pt>
                <c:pt idx="17">
                  <c:v>2</c:v>
                </c:pt>
                <c:pt idx="18">
                  <c:v>2</c:v>
                </c:pt>
                <c:pt idx="19">
                  <c:v>6</c:v>
                </c:pt>
              </c:numCache>
            </c:numRef>
          </c:val>
          <c:smooth val="0"/>
          <c:extLst>
            <c:ext xmlns:c16="http://schemas.microsoft.com/office/drawing/2014/chart" uri="{C3380CC4-5D6E-409C-BE32-E72D297353CC}">
              <c16:uniqueId val="{00000000-0C8F-48ED-953E-1231BE8B8293}"/>
            </c:ext>
          </c:extLst>
        </c:ser>
        <c:ser>
          <c:idx val="1"/>
          <c:order val="1"/>
          <c:tx>
            <c:strRef>
              <c:f>Suicides!$C$1</c:f>
              <c:strCache>
                <c:ptCount val="1"/>
                <c:pt idx="0">
                  <c:v>Female</c:v>
                </c:pt>
              </c:strCache>
            </c:strRef>
          </c:tx>
          <c:spPr>
            <a:ln w="28575" cap="rnd">
              <a:solidFill>
                <a:schemeClr val="accent2"/>
              </a:solidFill>
              <a:round/>
            </a:ln>
            <a:effectLst/>
          </c:spPr>
          <c:marker>
            <c:symbol val="none"/>
          </c:marker>
          <c:cat>
            <c:numRef>
              <c:f>Suicides!$A$2:$A$21</c:f>
              <c:numCache>
                <c:formatCode>mmm\-yy</c:formatCode>
                <c:ptCount val="20"/>
                <c:pt idx="0">
                  <c:v>45231</c:v>
                </c:pt>
                <c:pt idx="1">
                  <c:v>45261</c:v>
                </c:pt>
                <c:pt idx="2">
                  <c:v>45292</c:v>
                </c:pt>
                <c:pt idx="3">
                  <c:v>45323</c:v>
                </c:pt>
                <c:pt idx="4">
                  <c:v>45352</c:v>
                </c:pt>
                <c:pt idx="5">
                  <c:v>45383</c:v>
                </c:pt>
                <c:pt idx="6">
                  <c:v>45413</c:v>
                </c:pt>
                <c:pt idx="7">
                  <c:v>45444</c:v>
                </c:pt>
                <c:pt idx="8">
                  <c:v>45474</c:v>
                </c:pt>
                <c:pt idx="9">
                  <c:v>45505</c:v>
                </c:pt>
                <c:pt idx="10">
                  <c:v>45536</c:v>
                </c:pt>
                <c:pt idx="11">
                  <c:v>45566</c:v>
                </c:pt>
                <c:pt idx="12">
                  <c:v>45597</c:v>
                </c:pt>
                <c:pt idx="13">
                  <c:v>45627</c:v>
                </c:pt>
                <c:pt idx="14">
                  <c:v>45658</c:v>
                </c:pt>
                <c:pt idx="15">
                  <c:v>45689</c:v>
                </c:pt>
                <c:pt idx="16">
                  <c:v>45717</c:v>
                </c:pt>
                <c:pt idx="17">
                  <c:v>45748</c:v>
                </c:pt>
                <c:pt idx="18">
                  <c:v>45778</c:v>
                </c:pt>
                <c:pt idx="19">
                  <c:v>45809</c:v>
                </c:pt>
              </c:numCache>
            </c:numRef>
          </c:cat>
          <c:val>
            <c:numRef>
              <c:f>Suicides!$C$2:$C$21</c:f>
              <c:numCache>
                <c:formatCode>General</c:formatCode>
                <c:ptCount val="20"/>
                <c:pt idx="0">
                  <c:v>4</c:v>
                </c:pt>
                <c:pt idx="1">
                  <c:v>1</c:v>
                </c:pt>
                <c:pt idx="2">
                  <c:v>1</c:v>
                </c:pt>
                <c:pt idx="3">
                  <c:v>1</c:v>
                </c:pt>
                <c:pt idx="4">
                  <c:v>1</c:v>
                </c:pt>
                <c:pt idx="5">
                  <c:v>2</c:v>
                </c:pt>
                <c:pt idx="6">
                  <c:v>1</c:v>
                </c:pt>
                <c:pt idx="7">
                  <c:v>3</c:v>
                </c:pt>
                <c:pt idx="8">
                  <c:v>1</c:v>
                </c:pt>
                <c:pt idx="9">
                  <c:v>2</c:v>
                </c:pt>
                <c:pt idx="10">
                  <c:v>2</c:v>
                </c:pt>
                <c:pt idx="11">
                  <c:v>2</c:v>
                </c:pt>
                <c:pt idx="12">
                  <c:v>1</c:v>
                </c:pt>
                <c:pt idx="13">
                  <c:v>1</c:v>
                </c:pt>
                <c:pt idx="14">
                  <c:v>1</c:v>
                </c:pt>
                <c:pt idx="15">
                  <c:v>0</c:v>
                </c:pt>
                <c:pt idx="16">
                  <c:v>3</c:v>
                </c:pt>
                <c:pt idx="17">
                  <c:v>1</c:v>
                </c:pt>
                <c:pt idx="18">
                  <c:v>1</c:v>
                </c:pt>
                <c:pt idx="19">
                  <c:v>2</c:v>
                </c:pt>
              </c:numCache>
            </c:numRef>
          </c:val>
          <c:smooth val="0"/>
          <c:extLst>
            <c:ext xmlns:c16="http://schemas.microsoft.com/office/drawing/2014/chart" uri="{C3380CC4-5D6E-409C-BE32-E72D297353CC}">
              <c16:uniqueId val="{00000001-0C8F-48ED-953E-1231BE8B8293}"/>
            </c:ext>
          </c:extLst>
        </c:ser>
        <c:dLbls>
          <c:showLegendKey val="0"/>
          <c:showVal val="0"/>
          <c:showCatName val="0"/>
          <c:showSerName val="0"/>
          <c:showPercent val="0"/>
          <c:showBubbleSize val="0"/>
        </c:dLbls>
        <c:smooth val="0"/>
        <c:axId val="500760191"/>
        <c:axId val="1356322832"/>
      </c:lineChart>
      <c:dateAx>
        <c:axId val="50076019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322832"/>
        <c:crosses val="autoZero"/>
        <c:auto val="1"/>
        <c:lblOffset val="100"/>
        <c:baseTimeUnit val="months"/>
      </c:dateAx>
      <c:valAx>
        <c:axId val="135632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7601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051CD-53C8-457B-AF6A-4B567E204048}"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en-GB"/>
        </a:p>
      </dgm:t>
    </dgm:pt>
    <dgm:pt modelId="{C1BBA2EF-1159-4FD5-A305-661DD1630644}">
      <dgm:prSet phldrT="[Text]"/>
      <dgm:spPr/>
      <dgm:t>
        <a:bodyPr/>
        <a:lstStyle/>
        <a:p>
          <a:r>
            <a:rPr lang="en-GB"/>
            <a:t>Family, carer and relative involvement</a:t>
          </a:r>
        </a:p>
      </dgm:t>
    </dgm:pt>
    <dgm:pt modelId="{1E63266A-AA67-4745-8EE0-90D4607EE285}" type="parTrans" cxnId="{7A4DA64B-6FBD-4DA4-B393-9DDB2EB2DB8F}">
      <dgm:prSet/>
      <dgm:spPr/>
      <dgm:t>
        <a:bodyPr/>
        <a:lstStyle/>
        <a:p>
          <a:endParaRPr lang="en-GB"/>
        </a:p>
      </dgm:t>
    </dgm:pt>
    <dgm:pt modelId="{A1E51420-8825-4F6F-A44B-DDCD59C83D9C}" type="sibTrans" cxnId="{7A4DA64B-6FBD-4DA4-B393-9DDB2EB2DB8F}">
      <dgm:prSet/>
      <dgm:spPr/>
      <dgm:t>
        <a:bodyPr/>
        <a:lstStyle/>
        <a:p>
          <a:endParaRPr lang="en-GB"/>
        </a:p>
      </dgm:t>
    </dgm:pt>
    <dgm:pt modelId="{DF05086F-6421-4201-91D3-4E28B9F3F586}">
      <dgm:prSet phldrT="[Text]"/>
      <dgm:spPr/>
      <dgm:t>
        <a:bodyPr/>
        <a:lstStyle/>
        <a:p>
          <a:r>
            <a:rPr lang="en-GB"/>
            <a:t>Frequency/ quality of mental health review</a:t>
          </a:r>
        </a:p>
      </dgm:t>
    </dgm:pt>
    <dgm:pt modelId="{61DCA126-809F-4F2D-BB81-938B760FEC03}" type="parTrans" cxnId="{B470FC1F-7414-44CE-BD0A-CCBA2E8B042E}">
      <dgm:prSet/>
      <dgm:spPr/>
      <dgm:t>
        <a:bodyPr/>
        <a:lstStyle/>
        <a:p>
          <a:endParaRPr lang="en-GB"/>
        </a:p>
      </dgm:t>
    </dgm:pt>
    <dgm:pt modelId="{7F8460AA-0692-4319-962D-C4201C04A647}" type="sibTrans" cxnId="{B470FC1F-7414-44CE-BD0A-CCBA2E8B042E}">
      <dgm:prSet/>
      <dgm:spPr/>
      <dgm:t>
        <a:bodyPr/>
        <a:lstStyle/>
        <a:p>
          <a:endParaRPr lang="en-GB"/>
        </a:p>
      </dgm:t>
    </dgm:pt>
    <dgm:pt modelId="{359F10A2-4FBA-410F-876A-997C509D6F5C}">
      <dgm:prSet phldrT="[Text]"/>
      <dgm:spPr/>
      <dgm:t>
        <a:bodyPr/>
        <a:lstStyle/>
        <a:p>
          <a:r>
            <a:rPr lang="en-GB"/>
            <a:t>Communication with other care providers (including, GP, Care Home, Acute Hospital). </a:t>
          </a:r>
        </a:p>
      </dgm:t>
    </dgm:pt>
    <dgm:pt modelId="{A80F04F9-575D-4851-94D0-0A06C3E087FF}" type="parTrans" cxnId="{239A8349-81A2-471A-A119-F0C905094A82}">
      <dgm:prSet/>
      <dgm:spPr/>
      <dgm:t>
        <a:bodyPr/>
        <a:lstStyle/>
        <a:p>
          <a:endParaRPr lang="en-GB"/>
        </a:p>
      </dgm:t>
    </dgm:pt>
    <dgm:pt modelId="{EAFCFB33-AF5C-412D-AE50-A86BAF9047F0}" type="sibTrans" cxnId="{239A8349-81A2-471A-A119-F0C905094A82}">
      <dgm:prSet/>
      <dgm:spPr/>
      <dgm:t>
        <a:bodyPr/>
        <a:lstStyle/>
        <a:p>
          <a:endParaRPr lang="en-GB"/>
        </a:p>
      </dgm:t>
    </dgm:pt>
    <dgm:pt modelId="{8577E8E9-676A-4C5A-B180-02C9DB64F702}">
      <dgm:prSet phldrT="[Text]"/>
      <dgm:spPr/>
      <dgm:t>
        <a:bodyPr/>
        <a:lstStyle/>
        <a:p>
          <a:r>
            <a:rPr lang="en-GB"/>
            <a:t>Other</a:t>
          </a:r>
        </a:p>
      </dgm:t>
    </dgm:pt>
    <dgm:pt modelId="{8316FE4C-248D-4211-9588-208FA4C22C03}" type="parTrans" cxnId="{2C874D55-BA94-438C-AAB8-58EBA70248C5}">
      <dgm:prSet/>
      <dgm:spPr/>
      <dgm:t>
        <a:bodyPr/>
        <a:lstStyle/>
        <a:p>
          <a:endParaRPr lang="en-GB"/>
        </a:p>
      </dgm:t>
    </dgm:pt>
    <dgm:pt modelId="{FE6FB3F9-2390-4E94-80B0-0FDE8953902D}" type="sibTrans" cxnId="{2C874D55-BA94-438C-AAB8-58EBA70248C5}">
      <dgm:prSet/>
      <dgm:spPr/>
      <dgm:t>
        <a:bodyPr/>
        <a:lstStyle/>
        <a:p>
          <a:endParaRPr lang="en-GB"/>
        </a:p>
      </dgm:t>
    </dgm:pt>
    <dgm:pt modelId="{00A7498D-9191-4402-B28A-4EFB69C6D992}" type="pres">
      <dgm:prSet presAssocID="{73C051CD-53C8-457B-AF6A-4B567E204048}" presName="diagram" presStyleCnt="0">
        <dgm:presLayoutVars>
          <dgm:dir/>
          <dgm:resizeHandles val="exact"/>
        </dgm:presLayoutVars>
      </dgm:prSet>
      <dgm:spPr/>
    </dgm:pt>
    <dgm:pt modelId="{7180F385-A40C-4D16-ACCE-E4F67E7A513B}" type="pres">
      <dgm:prSet presAssocID="{C1BBA2EF-1159-4FD5-A305-661DD1630644}" presName="node" presStyleLbl="node1" presStyleIdx="0" presStyleCnt="4">
        <dgm:presLayoutVars>
          <dgm:bulletEnabled val="1"/>
        </dgm:presLayoutVars>
      </dgm:prSet>
      <dgm:spPr/>
    </dgm:pt>
    <dgm:pt modelId="{DA71466F-3636-4847-A591-F0425B708584}" type="pres">
      <dgm:prSet presAssocID="{A1E51420-8825-4F6F-A44B-DDCD59C83D9C}" presName="sibTrans" presStyleCnt="0"/>
      <dgm:spPr/>
    </dgm:pt>
    <dgm:pt modelId="{B94CF021-02EE-4B4A-840C-9941B4A12F75}" type="pres">
      <dgm:prSet presAssocID="{DF05086F-6421-4201-91D3-4E28B9F3F586}" presName="node" presStyleLbl="node1" presStyleIdx="1" presStyleCnt="4">
        <dgm:presLayoutVars>
          <dgm:bulletEnabled val="1"/>
        </dgm:presLayoutVars>
      </dgm:prSet>
      <dgm:spPr/>
    </dgm:pt>
    <dgm:pt modelId="{DCF3B39B-4D3B-4FC5-92B0-B584B6E9B01B}" type="pres">
      <dgm:prSet presAssocID="{7F8460AA-0692-4319-962D-C4201C04A647}" presName="sibTrans" presStyleCnt="0"/>
      <dgm:spPr/>
    </dgm:pt>
    <dgm:pt modelId="{C35D7CD3-98D0-4157-A183-57A45EEA1719}" type="pres">
      <dgm:prSet presAssocID="{359F10A2-4FBA-410F-876A-997C509D6F5C}" presName="node" presStyleLbl="node1" presStyleIdx="2" presStyleCnt="4">
        <dgm:presLayoutVars>
          <dgm:bulletEnabled val="1"/>
        </dgm:presLayoutVars>
      </dgm:prSet>
      <dgm:spPr/>
    </dgm:pt>
    <dgm:pt modelId="{394D4D50-F045-45B3-AB84-5B17FB32A45C}" type="pres">
      <dgm:prSet presAssocID="{EAFCFB33-AF5C-412D-AE50-A86BAF9047F0}" presName="sibTrans" presStyleCnt="0"/>
      <dgm:spPr/>
    </dgm:pt>
    <dgm:pt modelId="{91274A34-97BB-46E8-A9E8-ECF5BEE5FF86}" type="pres">
      <dgm:prSet presAssocID="{8577E8E9-676A-4C5A-B180-02C9DB64F702}" presName="node" presStyleLbl="node1" presStyleIdx="3" presStyleCnt="4">
        <dgm:presLayoutVars>
          <dgm:bulletEnabled val="1"/>
        </dgm:presLayoutVars>
      </dgm:prSet>
      <dgm:spPr/>
    </dgm:pt>
  </dgm:ptLst>
  <dgm:cxnLst>
    <dgm:cxn modelId="{FF62A810-5F70-4565-A0FF-AB1A8FE09CAD}" type="presOf" srcId="{359F10A2-4FBA-410F-876A-997C509D6F5C}" destId="{C35D7CD3-98D0-4157-A183-57A45EEA1719}" srcOrd="0" destOrd="0" presId="urn:microsoft.com/office/officeart/2005/8/layout/default"/>
    <dgm:cxn modelId="{B470FC1F-7414-44CE-BD0A-CCBA2E8B042E}" srcId="{73C051CD-53C8-457B-AF6A-4B567E204048}" destId="{DF05086F-6421-4201-91D3-4E28B9F3F586}" srcOrd="1" destOrd="0" parTransId="{61DCA126-809F-4F2D-BB81-938B760FEC03}" sibTransId="{7F8460AA-0692-4319-962D-C4201C04A647}"/>
    <dgm:cxn modelId="{239A8349-81A2-471A-A119-F0C905094A82}" srcId="{73C051CD-53C8-457B-AF6A-4B567E204048}" destId="{359F10A2-4FBA-410F-876A-997C509D6F5C}" srcOrd="2" destOrd="0" parTransId="{A80F04F9-575D-4851-94D0-0A06C3E087FF}" sibTransId="{EAFCFB33-AF5C-412D-AE50-A86BAF9047F0}"/>
    <dgm:cxn modelId="{7A4DA64B-6FBD-4DA4-B393-9DDB2EB2DB8F}" srcId="{73C051CD-53C8-457B-AF6A-4B567E204048}" destId="{C1BBA2EF-1159-4FD5-A305-661DD1630644}" srcOrd="0" destOrd="0" parTransId="{1E63266A-AA67-4745-8EE0-90D4607EE285}" sibTransId="{A1E51420-8825-4F6F-A44B-DDCD59C83D9C}"/>
    <dgm:cxn modelId="{0962BC4F-7FE7-4AC9-B186-BC11DE3D2801}" type="presOf" srcId="{DF05086F-6421-4201-91D3-4E28B9F3F586}" destId="{B94CF021-02EE-4B4A-840C-9941B4A12F75}" srcOrd="0" destOrd="0" presId="urn:microsoft.com/office/officeart/2005/8/layout/default"/>
    <dgm:cxn modelId="{D8466554-CCAA-4D54-9876-83F6A84F8CC8}" type="presOf" srcId="{C1BBA2EF-1159-4FD5-A305-661DD1630644}" destId="{7180F385-A40C-4D16-ACCE-E4F67E7A513B}" srcOrd="0" destOrd="0" presId="urn:microsoft.com/office/officeart/2005/8/layout/default"/>
    <dgm:cxn modelId="{2C874D55-BA94-438C-AAB8-58EBA70248C5}" srcId="{73C051CD-53C8-457B-AF6A-4B567E204048}" destId="{8577E8E9-676A-4C5A-B180-02C9DB64F702}" srcOrd="3" destOrd="0" parTransId="{8316FE4C-248D-4211-9588-208FA4C22C03}" sibTransId="{FE6FB3F9-2390-4E94-80B0-0FDE8953902D}"/>
    <dgm:cxn modelId="{92BFA778-CE8D-4679-8740-62C609E5B234}" type="presOf" srcId="{8577E8E9-676A-4C5A-B180-02C9DB64F702}" destId="{91274A34-97BB-46E8-A9E8-ECF5BEE5FF86}" srcOrd="0" destOrd="0" presId="urn:microsoft.com/office/officeart/2005/8/layout/default"/>
    <dgm:cxn modelId="{E9DEE8AC-9A34-46C8-8F67-601D8F238676}" type="presOf" srcId="{73C051CD-53C8-457B-AF6A-4B567E204048}" destId="{00A7498D-9191-4402-B28A-4EFB69C6D992}" srcOrd="0" destOrd="0" presId="urn:microsoft.com/office/officeart/2005/8/layout/default"/>
    <dgm:cxn modelId="{E10BDD87-0655-44F9-80BE-D738B9453DB5}" type="presParOf" srcId="{00A7498D-9191-4402-B28A-4EFB69C6D992}" destId="{7180F385-A40C-4D16-ACCE-E4F67E7A513B}" srcOrd="0" destOrd="0" presId="urn:microsoft.com/office/officeart/2005/8/layout/default"/>
    <dgm:cxn modelId="{41862B0B-704C-400B-8480-E6263B7BCB6B}" type="presParOf" srcId="{00A7498D-9191-4402-B28A-4EFB69C6D992}" destId="{DA71466F-3636-4847-A591-F0425B708584}" srcOrd="1" destOrd="0" presId="urn:microsoft.com/office/officeart/2005/8/layout/default"/>
    <dgm:cxn modelId="{5C9B4688-6C9A-4416-AA5E-C4203E13D945}" type="presParOf" srcId="{00A7498D-9191-4402-B28A-4EFB69C6D992}" destId="{B94CF021-02EE-4B4A-840C-9941B4A12F75}" srcOrd="2" destOrd="0" presId="urn:microsoft.com/office/officeart/2005/8/layout/default"/>
    <dgm:cxn modelId="{9E99D1D0-B835-46BF-90C2-92BA1D9888CB}" type="presParOf" srcId="{00A7498D-9191-4402-B28A-4EFB69C6D992}" destId="{DCF3B39B-4D3B-4FC5-92B0-B584B6E9B01B}" srcOrd="3" destOrd="0" presId="urn:microsoft.com/office/officeart/2005/8/layout/default"/>
    <dgm:cxn modelId="{53B7FD01-23EB-4ADA-99D1-035B91C3B57F}" type="presParOf" srcId="{00A7498D-9191-4402-B28A-4EFB69C6D992}" destId="{C35D7CD3-98D0-4157-A183-57A45EEA1719}" srcOrd="4" destOrd="0" presId="urn:microsoft.com/office/officeart/2005/8/layout/default"/>
    <dgm:cxn modelId="{388D7A89-08F5-4BA6-91D9-157849379D5E}" type="presParOf" srcId="{00A7498D-9191-4402-B28A-4EFB69C6D992}" destId="{394D4D50-F045-45B3-AB84-5B17FB32A45C}" srcOrd="5" destOrd="0" presId="urn:microsoft.com/office/officeart/2005/8/layout/default"/>
    <dgm:cxn modelId="{CB370A3F-4553-4AD9-9AC7-C54D90CF0EC1}" type="presParOf" srcId="{00A7498D-9191-4402-B28A-4EFB69C6D992}" destId="{91274A34-97BB-46E8-A9E8-ECF5BEE5FF86}" srcOrd="6"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0014E3-371C-4A96-A669-87FEC92DAEA4}"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GB"/>
        </a:p>
      </dgm:t>
    </dgm:pt>
    <dgm:pt modelId="{65A7DF91-82F3-4A91-A698-C5DEA8B165B6}">
      <dgm:prSet phldrT="[Text]"/>
      <dgm:spPr/>
      <dgm:t>
        <a:bodyPr/>
        <a:lstStyle/>
        <a:p>
          <a:r>
            <a:rPr lang="en-GB"/>
            <a:t>Physical health checks for a patient prescribed an antipsychotic medication</a:t>
          </a:r>
        </a:p>
      </dgm:t>
    </dgm:pt>
    <dgm:pt modelId="{50920B18-4CA0-45B3-9945-629D0E899111}" type="parTrans" cxnId="{BB0647A8-D4DC-4910-9E26-981FAF50ED8F}">
      <dgm:prSet/>
      <dgm:spPr/>
      <dgm:t>
        <a:bodyPr/>
        <a:lstStyle/>
        <a:p>
          <a:endParaRPr lang="en-GB"/>
        </a:p>
      </dgm:t>
    </dgm:pt>
    <dgm:pt modelId="{45FDA447-25FB-4A8C-96AF-0504FD1D06E1}" type="sibTrans" cxnId="{BB0647A8-D4DC-4910-9E26-981FAF50ED8F}">
      <dgm:prSet/>
      <dgm:spPr/>
      <dgm:t>
        <a:bodyPr/>
        <a:lstStyle/>
        <a:p>
          <a:endParaRPr lang="en-GB"/>
        </a:p>
      </dgm:t>
    </dgm:pt>
    <dgm:pt modelId="{7532D7E6-03AD-4933-BF9D-91E6C10276E2}">
      <dgm:prSet phldrT="[Text]"/>
      <dgm:spPr/>
      <dgm:t>
        <a:bodyPr/>
        <a:lstStyle/>
        <a:p>
          <a:r>
            <a:rPr lang="en-GB"/>
            <a:t>Other</a:t>
          </a:r>
        </a:p>
      </dgm:t>
    </dgm:pt>
    <dgm:pt modelId="{4B6B7C51-99D0-43AD-8F94-8A3D45549EF9}" type="parTrans" cxnId="{C714EE7C-3B57-415D-81E9-520F44CD85C8}">
      <dgm:prSet/>
      <dgm:spPr/>
      <dgm:t>
        <a:bodyPr/>
        <a:lstStyle/>
        <a:p>
          <a:endParaRPr lang="en-GB"/>
        </a:p>
      </dgm:t>
    </dgm:pt>
    <dgm:pt modelId="{9F4C72C3-1DB1-4845-B33B-6A235B459E0E}" type="sibTrans" cxnId="{C714EE7C-3B57-415D-81E9-520F44CD85C8}">
      <dgm:prSet/>
      <dgm:spPr/>
      <dgm:t>
        <a:bodyPr/>
        <a:lstStyle/>
        <a:p>
          <a:endParaRPr lang="en-GB"/>
        </a:p>
      </dgm:t>
    </dgm:pt>
    <dgm:pt modelId="{24E85115-A4D1-495F-94AC-8AD92E37D209}" type="pres">
      <dgm:prSet presAssocID="{150014E3-371C-4A96-A669-87FEC92DAEA4}" presName="diagram" presStyleCnt="0">
        <dgm:presLayoutVars>
          <dgm:dir/>
          <dgm:resizeHandles val="exact"/>
        </dgm:presLayoutVars>
      </dgm:prSet>
      <dgm:spPr/>
    </dgm:pt>
    <dgm:pt modelId="{2EAA1A5A-E829-45B9-8C49-491BFB2452C6}" type="pres">
      <dgm:prSet presAssocID="{65A7DF91-82F3-4A91-A698-C5DEA8B165B6}" presName="node" presStyleLbl="node1" presStyleIdx="0" presStyleCnt="2">
        <dgm:presLayoutVars>
          <dgm:bulletEnabled val="1"/>
        </dgm:presLayoutVars>
      </dgm:prSet>
      <dgm:spPr/>
    </dgm:pt>
    <dgm:pt modelId="{A3CBA395-229D-4DEC-AA43-B261FA2AB2B2}" type="pres">
      <dgm:prSet presAssocID="{45FDA447-25FB-4A8C-96AF-0504FD1D06E1}" presName="sibTrans" presStyleCnt="0"/>
      <dgm:spPr/>
    </dgm:pt>
    <dgm:pt modelId="{891D7528-9979-471C-AACB-1834F358BAC2}" type="pres">
      <dgm:prSet presAssocID="{7532D7E6-03AD-4933-BF9D-91E6C10276E2}" presName="node" presStyleLbl="node1" presStyleIdx="1" presStyleCnt="2">
        <dgm:presLayoutVars>
          <dgm:bulletEnabled val="1"/>
        </dgm:presLayoutVars>
      </dgm:prSet>
      <dgm:spPr/>
    </dgm:pt>
  </dgm:ptLst>
  <dgm:cxnLst>
    <dgm:cxn modelId="{36632640-4FE9-418F-A518-CB6B95FA5A5A}" type="presOf" srcId="{7532D7E6-03AD-4933-BF9D-91E6C10276E2}" destId="{891D7528-9979-471C-AACB-1834F358BAC2}" srcOrd="0" destOrd="0" presId="urn:microsoft.com/office/officeart/2005/8/layout/default"/>
    <dgm:cxn modelId="{770FC461-F048-4782-B2D7-C88D713DAC7C}" type="presOf" srcId="{65A7DF91-82F3-4A91-A698-C5DEA8B165B6}" destId="{2EAA1A5A-E829-45B9-8C49-491BFB2452C6}" srcOrd="0" destOrd="0" presId="urn:microsoft.com/office/officeart/2005/8/layout/default"/>
    <dgm:cxn modelId="{C714EE7C-3B57-415D-81E9-520F44CD85C8}" srcId="{150014E3-371C-4A96-A669-87FEC92DAEA4}" destId="{7532D7E6-03AD-4933-BF9D-91E6C10276E2}" srcOrd="1" destOrd="0" parTransId="{4B6B7C51-99D0-43AD-8F94-8A3D45549EF9}" sibTransId="{9F4C72C3-1DB1-4845-B33B-6A235B459E0E}"/>
    <dgm:cxn modelId="{BB0647A8-D4DC-4910-9E26-981FAF50ED8F}" srcId="{150014E3-371C-4A96-A669-87FEC92DAEA4}" destId="{65A7DF91-82F3-4A91-A698-C5DEA8B165B6}" srcOrd="0" destOrd="0" parTransId="{50920B18-4CA0-45B3-9945-629D0E899111}" sibTransId="{45FDA447-25FB-4A8C-96AF-0504FD1D06E1}"/>
    <dgm:cxn modelId="{560665E3-E530-4F9D-B806-4FC15725DFA9}" type="presOf" srcId="{150014E3-371C-4A96-A669-87FEC92DAEA4}" destId="{24E85115-A4D1-495F-94AC-8AD92E37D209}" srcOrd="0" destOrd="0" presId="urn:microsoft.com/office/officeart/2005/8/layout/default"/>
    <dgm:cxn modelId="{411A5BBD-FE45-4BB4-83FB-920977E35201}" type="presParOf" srcId="{24E85115-A4D1-495F-94AC-8AD92E37D209}" destId="{2EAA1A5A-E829-45B9-8C49-491BFB2452C6}" srcOrd="0" destOrd="0" presId="urn:microsoft.com/office/officeart/2005/8/layout/default"/>
    <dgm:cxn modelId="{6042F6B6-A868-498B-B865-5B1A5E784EF9}" type="presParOf" srcId="{24E85115-A4D1-495F-94AC-8AD92E37D209}" destId="{A3CBA395-229D-4DEC-AA43-B261FA2AB2B2}" srcOrd="1" destOrd="0" presId="urn:microsoft.com/office/officeart/2005/8/layout/default"/>
    <dgm:cxn modelId="{F4AB3136-7AEB-4A44-8AD7-D4A4A095AB43}" type="presParOf" srcId="{24E85115-A4D1-495F-94AC-8AD92E37D209}" destId="{891D7528-9979-471C-AACB-1834F358BAC2}" srcOrd="2"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80F385-A40C-4D16-ACCE-E4F67E7A513B}">
      <dsp:nvSpPr>
        <dsp:cNvPr id="0" name=""/>
        <dsp:cNvSpPr/>
      </dsp:nvSpPr>
      <dsp:spPr>
        <a:xfrm>
          <a:off x="593333" y="832"/>
          <a:ext cx="1361526" cy="81691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Family, carer and relative involvement</a:t>
          </a:r>
        </a:p>
      </dsp:txBody>
      <dsp:txXfrm>
        <a:off x="593333" y="832"/>
        <a:ext cx="1361526" cy="816915"/>
      </dsp:txXfrm>
    </dsp:sp>
    <dsp:sp modelId="{B94CF021-02EE-4B4A-840C-9941B4A12F75}">
      <dsp:nvSpPr>
        <dsp:cNvPr id="0" name=""/>
        <dsp:cNvSpPr/>
      </dsp:nvSpPr>
      <dsp:spPr>
        <a:xfrm>
          <a:off x="2091011" y="832"/>
          <a:ext cx="1361526" cy="816915"/>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Frequency/ quality of mental health review</a:t>
          </a:r>
        </a:p>
      </dsp:txBody>
      <dsp:txXfrm>
        <a:off x="2091011" y="832"/>
        <a:ext cx="1361526" cy="816915"/>
      </dsp:txXfrm>
    </dsp:sp>
    <dsp:sp modelId="{C35D7CD3-98D0-4157-A183-57A45EEA1719}">
      <dsp:nvSpPr>
        <dsp:cNvPr id="0" name=""/>
        <dsp:cNvSpPr/>
      </dsp:nvSpPr>
      <dsp:spPr>
        <a:xfrm>
          <a:off x="3588690" y="832"/>
          <a:ext cx="1361526" cy="816915"/>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Communication with other care providers (including, GP, Care Home, Acute Hospital). </a:t>
          </a:r>
        </a:p>
      </dsp:txBody>
      <dsp:txXfrm>
        <a:off x="3588690" y="832"/>
        <a:ext cx="1361526" cy="816915"/>
      </dsp:txXfrm>
    </dsp:sp>
    <dsp:sp modelId="{91274A34-97BB-46E8-A9E8-ECF5BEE5FF86}">
      <dsp:nvSpPr>
        <dsp:cNvPr id="0" name=""/>
        <dsp:cNvSpPr/>
      </dsp:nvSpPr>
      <dsp:spPr>
        <a:xfrm>
          <a:off x="2091011" y="953901"/>
          <a:ext cx="1361526" cy="816915"/>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Other</a:t>
          </a:r>
        </a:p>
      </dsp:txBody>
      <dsp:txXfrm>
        <a:off x="2091011" y="953901"/>
        <a:ext cx="1361526" cy="8169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AA1A5A-E829-45B9-8C49-491BFB2452C6}">
      <dsp:nvSpPr>
        <dsp:cNvPr id="0" name=""/>
        <dsp:cNvSpPr/>
      </dsp:nvSpPr>
      <dsp:spPr>
        <a:xfrm>
          <a:off x="614590" y="65"/>
          <a:ext cx="1841282" cy="1104769"/>
        </a:xfrm>
        <a:prstGeom prst="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Physical health checks for a patient prescribed an antipsychotic medication</a:t>
          </a:r>
        </a:p>
      </dsp:txBody>
      <dsp:txXfrm>
        <a:off x="614590" y="65"/>
        <a:ext cx="1841282" cy="1104769"/>
      </dsp:txXfrm>
    </dsp:sp>
    <dsp:sp modelId="{891D7528-9979-471C-AACB-1834F358BAC2}">
      <dsp:nvSpPr>
        <dsp:cNvPr id="0" name=""/>
        <dsp:cNvSpPr/>
      </dsp:nvSpPr>
      <dsp:spPr>
        <a:xfrm>
          <a:off x="2640001" y="65"/>
          <a:ext cx="1841282" cy="1104769"/>
        </a:xfrm>
        <a:prstGeom prst="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Other</a:t>
          </a:r>
        </a:p>
      </dsp:txBody>
      <dsp:txXfrm>
        <a:off x="2640001" y="65"/>
        <a:ext cx="1841282" cy="110476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980FF4-64A3-4F91-B6FB-06B57268E22A}">
  <we:reference id="52577d3f-beee-474c-869f-191d6934a8e3" version="1.0.0.0" store="EXCatalog" storeType="EXCatalog"/>
  <we:alternateReferences>
    <we:reference id="WA104381385"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28272-E2DD-4FA2-B589-F4C5E560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12</Pages>
  <Words>3071</Words>
  <Characters>15751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LOWREY Frances</dc:creator>
  <cp:keywords/>
  <dc:description/>
  <cp:lastModifiedBy>SAROY Tony</cp:lastModifiedBy>
  <cp:revision>8</cp:revision>
  <dcterms:created xsi:type="dcterms:W3CDTF">2025-07-09T15:23:00Z</dcterms:created>
  <dcterms:modified xsi:type="dcterms:W3CDTF">2025-07-14T15:00:00Z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096ccfd5-30fd-49e8-a6e7-3a97cd590e64</vt:lpwstr>
  </property>
</Properties>
</file>